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BDB2" w14:textId="77777777" w:rsidR="00E265F2" w:rsidRDefault="00A83CDD" w:rsidP="000F0E2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11F55DD" wp14:editId="0A2DF06E">
            <wp:extent cx="1447800" cy="1558346"/>
            <wp:effectExtent l="0" t="0" r="0" b="3810"/>
            <wp:docPr id="2" name="Image 2" descr="Logo UIAFP 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17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br w:type="column"/>
      </w:r>
    </w:p>
    <w:p w14:paraId="5BD31653" w14:textId="2FE826A9" w:rsidR="00A83CDD" w:rsidRDefault="00A83CDD" w:rsidP="00A83CDD">
      <w:pPr>
        <w:rPr>
          <w:noProof/>
        </w:rPr>
      </w:pPr>
      <w:r>
        <w:rPr>
          <w:noProof/>
        </w:rPr>
        <w:t xml:space="preserve"> </w:t>
      </w:r>
      <w:r w:rsidR="00AD60FB" w:rsidRPr="00AD60FB">
        <w:rPr>
          <w:noProof/>
        </w:rPr>
        <w:drawing>
          <wp:inline distT="0" distB="0" distL="0" distR="0" wp14:anchorId="781FF340" wp14:editId="15A33750">
            <wp:extent cx="4100337" cy="1028700"/>
            <wp:effectExtent l="0" t="0" r="0" b="0"/>
            <wp:docPr id="5" name="Image 4" descr="HANDICAP écrit en majuscule et en rouge">
              <a:extLst xmlns:a="http://schemas.openxmlformats.org/drawingml/2006/main">
                <a:ext uri="{FF2B5EF4-FFF2-40B4-BE49-F238E27FC236}">
                  <a16:creationId xmlns:a16="http://schemas.microsoft.com/office/drawing/2014/main" id="{CEFE72C6-55C8-40CE-8407-0BADAF0E47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CEFE72C6-55C8-40CE-8407-0BADAF0E47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45" b="93923" l="3329" r="97226">
                                  <a14:foregroundMark x1="3745" y1="23757" x2="3467" y2="56906"/>
                                  <a14:foregroundMark x1="22053" y1="24862" x2="23717" y2="54144"/>
                                  <a14:foregroundMark x1="36477" y1="93923" x2="38419" y2="92265"/>
                                  <a14:foregroundMark x1="29681" y1="93923" x2="29681" y2="91160"/>
                                  <a14:foregroundMark x1="44105" y1="24862" x2="44799" y2="53039"/>
                                  <a14:foregroundMark x1="58530" y1="22099" x2="57836" y2="45304"/>
                                  <a14:foregroundMark x1="72261" y1="30939" x2="69487" y2="18232"/>
                                  <a14:foregroundMark x1="79612" y1="22099" x2="78641" y2="49171"/>
                                  <a14:foregroundMark x1="90291" y1="23757" x2="91817" y2="53039"/>
                                  <a14:foregroundMark x1="95700" y1="18232" x2="97226" y2="441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601" cy="103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64FD" w14:textId="77777777" w:rsidR="00E265F2" w:rsidRDefault="00E265F2" w:rsidP="00A83CDD"/>
    <w:p w14:paraId="128B1AE6" w14:textId="04AF3BE0" w:rsidR="00A83CDD" w:rsidRDefault="00A83CDD">
      <w:pPr>
        <w:sectPr w:rsidR="00A83CDD" w:rsidSect="00F756C5">
          <w:footerReference w:type="default" r:id="rId11"/>
          <w:type w:val="continuous"/>
          <w:pgSz w:w="11906" w:h="16838"/>
          <w:pgMar w:top="709" w:right="1134" w:bottom="1134" w:left="1134" w:header="709" w:footer="590" w:gutter="0"/>
          <w:cols w:num="2" w:space="851" w:equalWidth="0">
            <w:col w:w="2268" w:space="851"/>
            <w:col w:w="6519"/>
          </w:cols>
          <w:docGrid w:linePitch="360"/>
        </w:sectPr>
      </w:pPr>
    </w:p>
    <w:p w14:paraId="695CD7EA" w14:textId="77777777" w:rsidR="00C1257E" w:rsidRPr="00C1257E" w:rsidRDefault="00C1257E" w:rsidP="001C5C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93ACFD" w14:textId="7D1C70E5" w:rsidR="00A83CDD" w:rsidRPr="00046632" w:rsidRDefault="00046632" w:rsidP="001C5C11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 w:rsidRPr="00046632">
        <w:rPr>
          <w:rFonts w:ascii="Arial" w:hAnsi="Arial" w:cs="Arial"/>
          <w:b/>
          <w:bCs/>
          <w:sz w:val="48"/>
          <w:szCs w:val="48"/>
        </w:rPr>
        <w:t>InFOs</w:t>
      </w:r>
      <w:proofErr w:type="spellEnd"/>
      <w:r w:rsidRPr="00046632">
        <w:rPr>
          <w:rFonts w:ascii="Arial" w:hAnsi="Arial" w:cs="Arial"/>
          <w:b/>
          <w:bCs/>
          <w:sz w:val="48"/>
          <w:szCs w:val="48"/>
        </w:rPr>
        <w:t xml:space="preserve"> FIPHFP</w:t>
      </w:r>
      <w:r w:rsidR="00941084">
        <w:rPr>
          <w:rFonts w:ascii="Arial" w:hAnsi="Arial" w:cs="Arial"/>
          <w:b/>
          <w:bCs/>
          <w:sz w:val="48"/>
          <w:szCs w:val="48"/>
        </w:rPr>
        <w:t xml:space="preserve"> – 2</w:t>
      </w:r>
      <w:r w:rsidR="00941084" w:rsidRPr="00941084">
        <w:rPr>
          <w:rFonts w:ascii="Arial" w:hAnsi="Arial" w:cs="Arial"/>
          <w:b/>
          <w:bCs/>
          <w:sz w:val="48"/>
          <w:szCs w:val="48"/>
          <w:vertAlign w:val="superscript"/>
        </w:rPr>
        <w:t>e</w:t>
      </w:r>
      <w:r w:rsidR="00941084">
        <w:rPr>
          <w:rFonts w:ascii="Arial" w:hAnsi="Arial" w:cs="Arial"/>
          <w:b/>
          <w:bCs/>
          <w:sz w:val="48"/>
          <w:szCs w:val="48"/>
        </w:rPr>
        <w:t xml:space="preserve"> semestre 20</w:t>
      </w:r>
      <w:r w:rsidR="00D75D51">
        <w:rPr>
          <w:rFonts w:ascii="Arial" w:hAnsi="Arial" w:cs="Arial"/>
          <w:b/>
          <w:bCs/>
          <w:sz w:val="48"/>
          <w:szCs w:val="48"/>
        </w:rPr>
        <w:t>20</w:t>
      </w:r>
    </w:p>
    <w:p w14:paraId="34AD8F98" w14:textId="3D04187C" w:rsidR="00046632" w:rsidRDefault="00046632" w:rsidP="00E12F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2C2024" w14:textId="7F6152BE" w:rsidR="00E12FD5" w:rsidRDefault="00E12FD5" w:rsidP="00C1257E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12FD5">
        <w:rPr>
          <w:rFonts w:ascii="Arial" w:hAnsi="Arial" w:cs="Arial"/>
          <w:i/>
          <w:iCs/>
          <w:sz w:val="24"/>
          <w:szCs w:val="24"/>
        </w:rPr>
        <w:t>Chaque semestre, l’UIAFP-FO (l’Union Interfédérale des Agents de la Fonction Publique FORCE OUVRIERE)</w:t>
      </w:r>
      <w:r w:rsidR="00941084">
        <w:rPr>
          <w:rFonts w:ascii="Arial" w:hAnsi="Arial" w:cs="Arial"/>
          <w:i/>
          <w:iCs/>
          <w:sz w:val="24"/>
          <w:szCs w:val="24"/>
        </w:rPr>
        <w:t xml:space="preserve"> vous informe sur ce qui se passe au FIPHFP (Fonds pour l’Insertion des Personnes Handicapées dans la Fonction Publique).</w:t>
      </w:r>
    </w:p>
    <w:p w14:paraId="5F91B446" w14:textId="77777777" w:rsidR="00E12FD5" w:rsidRPr="00E24228" w:rsidRDefault="00E12FD5" w:rsidP="00C1257E">
      <w:pPr>
        <w:spacing w:after="0" w:line="276" w:lineRule="auto"/>
        <w:jc w:val="both"/>
        <w:rPr>
          <w:rFonts w:ascii="Arial" w:hAnsi="Arial" w:cs="Arial"/>
          <w:sz w:val="40"/>
          <w:szCs w:val="40"/>
        </w:rPr>
      </w:pPr>
    </w:p>
    <w:p w14:paraId="6FEFDE6E" w14:textId="27D59AF0" w:rsidR="00046632" w:rsidRPr="00046632" w:rsidRDefault="00046632" w:rsidP="00C1257E">
      <w:pPr>
        <w:shd w:val="clear" w:color="auto" w:fill="00FF99"/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46632">
        <w:rPr>
          <w:rFonts w:ascii="Arial" w:hAnsi="Arial" w:cs="Arial"/>
          <w:b/>
          <w:bCs/>
          <w:sz w:val="40"/>
          <w:szCs w:val="40"/>
        </w:rPr>
        <w:t>Comité national</w:t>
      </w:r>
    </w:p>
    <w:p w14:paraId="68DF1D02" w14:textId="6C635B75" w:rsidR="002A1497" w:rsidRPr="00E43B6A" w:rsidRDefault="005C0F41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comité national s’est réuni deux fois durant la période</w:t>
      </w:r>
      <w:r w:rsidR="00E43B6A">
        <w:rPr>
          <w:rFonts w:ascii="Arial" w:hAnsi="Arial" w:cs="Arial"/>
          <w:sz w:val="24"/>
          <w:szCs w:val="24"/>
        </w:rPr>
        <w:t>.</w:t>
      </w:r>
    </w:p>
    <w:p w14:paraId="23C18C2F" w14:textId="77777777" w:rsidR="00E43B6A" w:rsidRDefault="00E43B6A" w:rsidP="00C1257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8267CB1" w14:textId="6C3AB869" w:rsidR="002A1497" w:rsidRPr="00C1257E" w:rsidRDefault="002A1497" w:rsidP="00C1257E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1257E">
        <w:rPr>
          <w:rFonts w:ascii="Arial" w:hAnsi="Arial" w:cs="Arial"/>
          <w:b/>
          <w:bCs/>
          <w:sz w:val="24"/>
          <w:szCs w:val="24"/>
          <w:u w:val="single"/>
        </w:rPr>
        <w:t>Finances :</w:t>
      </w:r>
    </w:p>
    <w:p w14:paraId="786C20D6" w14:textId="2546D211" w:rsidR="00F41755" w:rsidRDefault="00F41755" w:rsidP="00C1257E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 </w:t>
      </w:r>
      <w:r w:rsidR="00C93B5C">
        <w:rPr>
          <w:rFonts w:ascii="Arial" w:hAnsi="Arial" w:cs="Arial"/>
          <w:sz w:val="24"/>
        </w:rPr>
        <w:t>30 novembre 2020</w:t>
      </w:r>
      <w:r>
        <w:rPr>
          <w:rFonts w:ascii="Arial" w:hAnsi="Arial" w:cs="Arial"/>
          <w:sz w:val="24"/>
        </w:rPr>
        <w:t xml:space="preserve">, </w:t>
      </w:r>
      <w:r w:rsidRPr="00C1257E">
        <w:rPr>
          <w:rFonts w:ascii="Arial" w:hAnsi="Arial" w:cs="Arial"/>
          <w:b/>
          <w:bCs/>
          <w:sz w:val="24"/>
        </w:rPr>
        <w:t xml:space="preserve">les </w:t>
      </w:r>
      <w:r w:rsidR="00CE391F">
        <w:rPr>
          <w:rFonts w:ascii="Arial" w:hAnsi="Arial" w:cs="Arial"/>
          <w:b/>
          <w:bCs/>
          <w:sz w:val="24"/>
        </w:rPr>
        <w:t>R</w:t>
      </w:r>
      <w:r w:rsidRPr="00C1257E">
        <w:rPr>
          <w:rFonts w:ascii="Arial" w:hAnsi="Arial" w:cs="Arial"/>
          <w:b/>
          <w:bCs/>
          <w:sz w:val="24"/>
        </w:rPr>
        <w:t xml:space="preserve">estes </w:t>
      </w:r>
      <w:r w:rsidR="00CE391F" w:rsidRPr="00CE391F">
        <w:rPr>
          <w:rFonts w:ascii="Arial" w:hAnsi="Arial" w:cs="Arial"/>
          <w:b/>
          <w:bCs/>
          <w:caps/>
          <w:sz w:val="24"/>
        </w:rPr>
        <w:t>à</w:t>
      </w:r>
      <w:r w:rsidRPr="00C1257E">
        <w:rPr>
          <w:rFonts w:ascii="Arial" w:hAnsi="Arial" w:cs="Arial"/>
          <w:b/>
          <w:bCs/>
          <w:sz w:val="24"/>
        </w:rPr>
        <w:t xml:space="preserve"> </w:t>
      </w:r>
      <w:r w:rsidR="00CE391F">
        <w:rPr>
          <w:rFonts w:ascii="Arial" w:hAnsi="Arial" w:cs="Arial"/>
          <w:b/>
          <w:bCs/>
          <w:sz w:val="24"/>
        </w:rPr>
        <w:t>R</w:t>
      </w:r>
      <w:r w:rsidRPr="00C1257E">
        <w:rPr>
          <w:rFonts w:ascii="Arial" w:hAnsi="Arial" w:cs="Arial"/>
          <w:b/>
          <w:bCs/>
          <w:sz w:val="24"/>
        </w:rPr>
        <w:t>ecouvrer (RAR)</w:t>
      </w:r>
      <w:r w:rsidR="00BD5930" w:rsidRPr="00C1257E">
        <w:rPr>
          <w:rFonts w:ascii="Arial" w:hAnsi="Arial" w:cs="Arial"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 w:rsidR="00BD5930">
        <w:rPr>
          <w:rFonts w:ascii="Arial" w:hAnsi="Arial" w:cs="Arial"/>
          <w:sz w:val="24"/>
        </w:rPr>
        <w:t xml:space="preserve">tout exercice confondu, </w:t>
      </w:r>
      <w:r>
        <w:rPr>
          <w:rFonts w:ascii="Arial" w:hAnsi="Arial" w:cs="Arial"/>
          <w:sz w:val="24"/>
        </w:rPr>
        <w:t xml:space="preserve">s’établissent à </w:t>
      </w:r>
      <w:r w:rsidR="00C93B5C">
        <w:rPr>
          <w:rFonts w:ascii="Arial" w:hAnsi="Arial" w:cs="Arial"/>
          <w:sz w:val="24"/>
        </w:rPr>
        <w:t>24,85</w:t>
      </w:r>
      <w:r>
        <w:rPr>
          <w:rFonts w:ascii="Arial" w:hAnsi="Arial" w:cs="Arial"/>
          <w:sz w:val="24"/>
        </w:rPr>
        <w:t xml:space="preserve">M€ </w:t>
      </w:r>
      <w:r w:rsidR="00BD5930">
        <w:rPr>
          <w:rFonts w:ascii="Arial" w:hAnsi="Arial" w:cs="Arial"/>
          <w:sz w:val="24"/>
        </w:rPr>
        <w:t>(</w:t>
      </w:r>
      <w:r w:rsidR="00C93B5C">
        <w:rPr>
          <w:rFonts w:ascii="Arial" w:hAnsi="Arial" w:cs="Arial"/>
          <w:sz w:val="24"/>
        </w:rPr>
        <w:t>8,34</w:t>
      </w:r>
      <w:r w:rsidR="00BD5930">
        <w:rPr>
          <w:rFonts w:ascii="Arial" w:hAnsi="Arial" w:cs="Arial"/>
          <w:sz w:val="24"/>
        </w:rPr>
        <w:t xml:space="preserve">M€ pour l’antérieur et </w:t>
      </w:r>
      <w:r w:rsidR="00C93B5C">
        <w:rPr>
          <w:rFonts w:ascii="Arial" w:hAnsi="Arial" w:cs="Arial"/>
          <w:sz w:val="24"/>
        </w:rPr>
        <w:t>16,5</w:t>
      </w:r>
      <w:r w:rsidR="00BD5930">
        <w:rPr>
          <w:rFonts w:ascii="Arial" w:hAnsi="Arial" w:cs="Arial"/>
          <w:sz w:val="24"/>
        </w:rPr>
        <w:t xml:space="preserve">1M€ pour le courant) </w:t>
      </w:r>
      <w:r w:rsidR="00C93B5C">
        <w:rPr>
          <w:rFonts w:ascii="Arial" w:hAnsi="Arial" w:cs="Arial"/>
          <w:sz w:val="24"/>
        </w:rPr>
        <w:t>(2,79M€ pour la FPE, 5,91M€ pour la FPT et 7,81M€ pour la FPH)</w:t>
      </w:r>
      <w:r>
        <w:rPr>
          <w:rFonts w:ascii="Arial" w:hAnsi="Arial" w:cs="Arial"/>
          <w:sz w:val="24"/>
        </w:rPr>
        <w:t>.</w:t>
      </w:r>
    </w:p>
    <w:p w14:paraId="7A8B50E0" w14:textId="17A75226" w:rsidR="00F41755" w:rsidRDefault="00BD5930" w:rsidP="00C1257E">
      <w:pPr>
        <w:spacing w:after="0" w:line="276" w:lineRule="auto"/>
        <w:jc w:val="both"/>
        <w:rPr>
          <w:rFonts w:ascii="Arial" w:hAnsi="Arial" w:cs="Arial"/>
          <w:sz w:val="24"/>
        </w:rPr>
      </w:pPr>
      <w:r w:rsidRPr="00C1257E">
        <w:rPr>
          <w:rFonts w:ascii="Arial" w:hAnsi="Arial" w:cs="Arial"/>
          <w:b/>
          <w:bCs/>
          <w:sz w:val="24"/>
        </w:rPr>
        <w:t>Des délais de paiement</w:t>
      </w:r>
      <w:r>
        <w:rPr>
          <w:rFonts w:ascii="Arial" w:hAnsi="Arial" w:cs="Arial"/>
          <w:sz w:val="24"/>
        </w:rPr>
        <w:t xml:space="preserve"> ont été accordés à </w:t>
      </w:r>
      <w:r w:rsidR="006F7E0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structures : essentiellement des communes ou hôpitaux localisés en DROM</w:t>
      </w:r>
      <w:r w:rsidR="00CE391F">
        <w:rPr>
          <w:rFonts w:ascii="Arial" w:hAnsi="Arial" w:cs="Arial"/>
          <w:sz w:val="24"/>
        </w:rPr>
        <w:t xml:space="preserve"> (Départements et Régions d’</w:t>
      </w:r>
      <w:r w:rsidR="00C21A25">
        <w:rPr>
          <w:rFonts w:ascii="Arial" w:hAnsi="Arial" w:cs="Arial"/>
          <w:sz w:val="24"/>
        </w:rPr>
        <w:t>Outre-Mer</w:t>
      </w:r>
      <w:r w:rsidR="00CE391F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. </w:t>
      </w:r>
    </w:p>
    <w:p w14:paraId="2B5B83D7" w14:textId="46794B84" w:rsidR="00BD5930" w:rsidRPr="006F7E03" w:rsidRDefault="006F7E03" w:rsidP="00C1257E">
      <w:pPr>
        <w:spacing w:after="0" w:line="276" w:lineRule="auto"/>
        <w:jc w:val="both"/>
        <w:rPr>
          <w:rFonts w:ascii="Arial" w:hAnsi="Arial" w:cs="Arial"/>
          <w:sz w:val="24"/>
        </w:rPr>
      </w:pPr>
      <w:r w:rsidRPr="006F7E03">
        <w:rPr>
          <w:rFonts w:ascii="Arial" w:hAnsi="Arial" w:cs="Arial"/>
          <w:b/>
          <w:bCs/>
          <w:sz w:val="24"/>
        </w:rPr>
        <w:t>5</w:t>
      </w:r>
      <w:r w:rsidR="00BD5930" w:rsidRPr="006F7E03">
        <w:rPr>
          <w:rFonts w:ascii="Arial" w:hAnsi="Arial" w:cs="Arial"/>
          <w:b/>
          <w:bCs/>
          <w:sz w:val="24"/>
        </w:rPr>
        <w:t xml:space="preserve"> dossiers sont encore en litiges devant les tribunaux administratifs :</w:t>
      </w:r>
      <w:r w:rsidR="00BD5930" w:rsidRPr="006F7E03">
        <w:rPr>
          <w:rFonts w:ascii="Arial" w:hAnsi="Arial" w:cs="Arial"/>
          <w:sz w:val="24"/>
        </w:rPr>
        <w:t xml:space="preserve"> essentiellement des hôpitaux de métropole.</w:t>
      </w:r>
    </w:p>
    <w:p w14:paraId="70AC5A3B" w14:textId="524EB7D2" w:rsidR="00CB13A8" w:rsidRDefault="00CB13A8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comité a examiné</w:t>
      </w:r>
      <w:r w:rsidR="00575409">
        <w:rPr>
          <w:rFonts w:ascii="Arial" w:hAnsi="Arial" w:cs="Arial"/>
          <w:sz w:val="24"/>
          <w:szCs w:val="24"/>
        </w:rPr>
        <w:t xml:space="preserve"> </w:t>
      </w:r>
      <w:r w:rsidR="0050151C">
        <w:rPr>
          <w:rFonts w:ascii="Arial" w:hAnsi="Arial" w:cs="Arial"/>
          <w:b/>
          <w:bCs/>
          <w:sz w:val="24"/>
          <w:szCs w:val="24"/>
        </w:rPr>
        <w:t>5</w:t>
      </w:r>
      <w:r w:rsidRPr="00C1257E">
        <w:rPr>
          <w:rFonts w:ascii="Arial" w:hAnsi="Arial" w:cs="Arial"/>
          <w:b/>
          <w:bCs/>
          <w:sz w:val="24"/>
          <w:szCs w:val="24"/>
        </w:rPr>
        <w:t xml:space="preserve"> demandes de remises gracieuses</w:t>
      </w:r>
      <w:r w:rsidRPr="00B7744E">
        <w:rPr>
          <w:rFonts w:ascii="Arial" w:hAnsi="Arial" w:cs="Arial"/>
          <w:sz w:val="24"/>
          <w:szCs w:val="24"/>
        </w:rPr>
        <w:t xml:space="preserve"> </w:t>
      </w:r>
      <w:r w:rsidR="00575409" w:rsidRPr="00B7744E">
        <w:rPr>
          <w:rFonts w:ascii="Arial" w:hAnsi="Arial" w:cs="Arial"/>
          <w:sz w:val="24"/>
          <w:szCs w:val="24"/>
        </w:rPr>
        <w:t>(</w:t>
      </w:r>
      <w:r w:rsidR="00F41755" w:rsidRPr="00B7744E">
        <w:rPr>
          <w:rFonts w:ascii="Arial" w:hAnsi="Arial" w:cs="Arial"/>
          <w:sz w:val="24"/>
          <w:szCs w:val="24"/>
        </w:rPr>
        <w:t xml:space="preserve">abandon </w:t>
      </w:r>
      <w:r w:rsidR="00B7744E" w:rsidRPr="00B7744E">
        <w:rPr>
          <w:rFonts w:ascii="Arial" w:hAnsi="Arial" w:cs="Arial"/>
          <w:sz w:val="24"/>
          <w:szCs w:val="24"/>
        </w:rPr>
        <w:t>d’une partie</w:t>
      </w:r>
      <w:r w:rsidR="00F41755" w:rsidRPr="00B7744E">
        <w:rPr>
          <w:rFonts w:ascii="Arial" w:hAnsi="Arial" w:cs="Arial"/>
          <w:sz w:val="24"/>
          <w:szCs w:val="24"/>
        </w:rPr>
        <w:t xml:space="preserve"> de la somme due</w:t>
      </w:r>
      <w:r w:rsidR="00575409" w:rsidRPr="00B7744E">
        <w:rPr>
          <w:rFonts w:ascii="Arial" w:hAnsi="Arial" w:cs="Arial"/>
          <w:sz w:val="24"/>
          <w:szCs w:val="24"/>
        </w:rPr>
        <w:t>)</w:t>
      </w:r>
      <w:r w:rsidR="00B7744E" w:rsidRPr="00B7744E">
        <w:rPr>
          <w:rFonts w:ascii="Arial" w:hAnsi="Arial" w:cs="Arial"/>
          <w:sz w:val="24"/>
          <w:szCs w:val="24"/>
        </w:rPr>
        <w:t xml:space="preserve"> pour des centres hospitaliers</w:t>
      </w:r>
      <w:r w:rsidRPr="00B7744E">
        <w:rPr>
          <w:rFonts w:ascii="Arial" w:hAnsi="Arial" w:cs="Arial"/>
          <w:sz w:val="24"/>
          <w:szCs w:val="24"/>
        </w:rPr>
        <w:t xml:space="preserve">. </w:t>
      </w:r>
      <w:r w:rsidR="00BD5930" w:rsidRPr="00B7744E">
        <w:rPr>
          <w:rFonts w:ascii="Arial" w:hAnsi="Arial" w:cs="Arial"/>
          <w:sz w:val="24"/>
        </w:rPr>
        <w:t xml:space="preserve">FO a voté </w:t>
      </w:r>
      <w:r w:rsidR="00B7744E" w:rsidRPr="00B7744E">
        <w:rPr>
          <w:rFonts w:ascii="Arial" w:hAnsi="Arial" w:cs="Arial"/>
          <w:sz w:val="24"/>
        </w:rPr>
        <w:t>globalement contre ces sollicitations car elles font suite à des déclarations mensongères mises à jour par un contrôle.</w:t>
      </w:r>
      <w:r w:rsidR="00F41755" w:rsidRPr="00B7744E">
        <w:rPr>
          <w:rFonts w:ascii="Arial" w:hAnsi="Arial" w:cs="Arial"/>
          <w:sz w:val="24"/>
          <w:szCs w:val="24"/>
        </w:rPr>
        <w:t xml:space="preserve"> </w:t>
      </w:r>
      <w:r w:rsidR="006F7E03">
        <w:rPr>
          <w:rFonts w:ascii="Arial" w:hAnsi="Arial" w:cs="Arial"/>
          <w:sz w:val="24"/>
          <w:szCs w:val="24"/>
        </w:rPr>
        <w:t>A noter que lors du 2</w:t>
      </w:r>
      <w:r w:rsidR="006F7E03" w:rsidRPr="006F7E03">
        <w:rPr>
          <w:rFonts w:ascii="Arial" w:hAnsi="Arial" w:cs="Arial"/>
          <w:sz w:val="24"/>
          <w:szCs w:val="24"/>
          <w:vertAlign w:val="superscript"/>
        </w:rPr>
        <w:t>e</w:t>
      </w:r>
      <w:r w:rsidR="006F7E03">
        <w:rPr>
          <w:rFonts w:ascii="Arial" w:hAnsi="Arial" w:cs="Arial"/>
          <w:sz w:val="24"/>
          <w:szCs w:val="24"/>
        </w:rPr>
        <w:t xml:space="preserve"> comité, les remises gracieuses qui devaient y être présentées ne l’ont pas été car elles n’étaient pas conformes selon la Direction Générale des Finances Publiques.</w:t>
      </w:r>
    </w:p>
    <w:p w14:paraId="315E2DF9" w14:textId="3879DD19" w:rsidR="00B7744E" w:rsidRPr="00F41755" w:rsidRDefault="00B7744E" w:rsidP="00B774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 Budgets </w:t>
      </w:r>
      <w:r>
        <w:rPr>
          <w:rFonts w:ascii="Arial" w:hAnsi="Arial" w:cs="Arial"/>
          <w:sz w:val="24"/>
          <w:szCs w:val="24"/>
        </w:rPr>
        <w:t>R</w:t>
      </w:r>
      <w:r w:rsidRPr="00C93B5C">
        <w:rPr>
          <w:rFonts w:ascii="Arial" w:hAnsi="Arial" w:cs="Arial"/>
          <w:sz w:val="24"/>
          <w:szCs w:val="24"/>
        </w:rPr>
        <w:t xml:space="preserve">ectificatif (BR) n°2 pour l’exercice 2020 et </w:t>
      </w:r>
      <w:r>
        <w:rPr>
          <w:rFonts w:ascii="Arial" w:hAnsi="Arial" w:cs="Arial"/>
          <w:sz w:val="24"/>
          <w:szCs w:val="24"/>
        </w:rPr>
        <w:t>I</w:t>
      </w:r>
      <w:r w:rsidRPr="00C93B5C">
        <w:rPr>
          <w:rFonts w:ascii="Arial" w:hAnsi="Arial" w:cs="Arial"/>
          <w:sz w:val="24"/>
          <w:szCs w:val="24"/>
        </w:rPr>
        <w:t>nitial (BI) pour l’exercice 2021</w:t>
      </w:r>
      <w:r>
        <w:rPr>
          <w:rFonts w:ascii="Arial" w:hAnsi="Arial" w:cs="Arial"/>
          <w:b/>
          <w:bCs/>
          <w:sz w:val="24"/>
          <w:szCs w:val="24"/>
        </w:rPr>
        <w:t xml:space="preserve"> ont été adoptés</w:t>
      </w:r>
      <w:r>
        <w:rPr>
          <w:rFonts w:ascii="Arial" w:hAnsi="Arial" w:cs="Arial"/>
          <w:sz w:val="24"/>
          <w:szCs w:val="24"/>
        </w:rPr>
        <w:t xml:space="preserve">. Ces projets prennent en compte les effets de la crise sanitaire (non-mobilisation de certaines aides plateforme comme les transports, prise en compte des masques inclusifs, demande des employeurs de report de renouvellement de leur conventionnement…) mais aussi la </w:t>
      </w:r>
      <w:r w:rsidR="00CE391F">
        <w:rPr>
          <w:rFonts w:ascii="Arial" w:hAnsi="Arial" w:cs="Arial"/>
          <w:sz w:val="24"/>
          <w:szCs w:val="24"/>
        </w:rPr>
        <w:t>première</w:t>
      </w:r>
      <w:r>
        <w:rPr>
          <w:rFonts w:ascii="Arial" w:hAnsi="Arial" w:cs="Arial"/>
          <w:sz w:val="24"/>
          <w:szCs w:val="24"/>
        </w:rPr>
        <w:t xml:space="preserve"> contribution de l’Education Nationale </w:t>
      </w:r>
      <w:r w:rsidR="00CE391F">
        <w:rPr>
          <w:rFonts w:ascii="Arial" w:hAnsi="Arial" w:cs="Arial"/>
          <w:sz w:val="24"/>
          <w:szCs w:val="24"/>
        </w:rPr>
        <w:t xml:space="preserve">(EN) </w:t>
      </w:r>
      <w:r>
        <w:rPr>
          <w:rFonts w:ascii="Arial" w:hAnsi="Arial" w:cs="Arial"/>
          <w:sz w:val="24"/>
          <w:szCs w:val="24"/>
        </w:rPr>
        <w:t xml:space="preserve">à hauteur de 10M€. </w:t>
      </w:r>
    </w:p>
    <w:p w14:paraId="0516870C" w14:textId="4147CB43" w:rsidR="00B7744E" w:rsidRDefault="00B7744E" w:rsidP="00B7744E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</w:rPr>
        <w:t>COG (Convention d’Objectifs et de Gestion) 2020-2024</w:t>
      </w:r>
      <w:r>
        <w:rPr>
          <w:rFonts w:ascii="Arial" w:eastAsia="Arial" w:hAnsi="Arial" w:cs="Arial"/>
          <w:sz w:val="24"/>
        </w:rPr>
        <w:t xml:space="preserve"> a été adoptée</w:t>
      </w:r>
      <w:r w:rsidRPr="0050151C">
        <w:rPr>
          <w:rFonts w:ascii="Arial" w:hAnsi="Arial" w:cs="Arial"/>
          <w:sz w:val="24"/>
          <w:szCs w:val="24"/>
        </w:rPr>
        <w:t>. Elle se fixe</w:t>
      </w:r>
      <w:r>
        <w:rPr>
          <w:rFonts w:ascii="Arial" w:hAnsi="Arial" w:cs="Arial"/>
          <w:sz w:val="24"/>
          <w:szCs w:val="24"/>
        </w:rPr>
        <w:t xml:space="preserve"> </w:t>
      </w:r>
      <w:r w:rsidRPr="0050151C">
        <w:rPr>
          <w:rFonts w:ascii="Arial" w:hAnsi="Arial" w:cs="Arial"/>
          <w:sz w:val="24"/>
          <w:szCs w:val="24"/>
        </w:rPr>
        <w:t xml:space="preserve">comme objectifs : </w:t>
      </w:r>
      <w:r>
        <w:rPr>
          <w:rFonts w:ascii="Arial" w:eastAsia="Arial" w:hAnsi="Arial" w:cs="Arial"/>
          <w:sz w:val="24"/>
        </w:rPr>
        <w:t>de r</w:t>
      </w:r>
      <w:r w:rsidRPr="0050151C">
        <w:rPr>
          <w:rFonts w:ascii="Arial" w:hAnsi="Arial" w:cs="Arial"/>
          <w:sz w:val="24"/>
        </w:rPr>
        <w:t>enforcer le conseil et l’accompagnement des employeurs publics</w:t>
      </w:r>
      <w:r>
        <w:rPr>
          <w:rFonts w:ascii="Arial" w:hAnsi="Arial" w:cs="Arial"/>
          <w:sz w:val="24"/>
        </w:rPr>
        <w:t>, de r</w:t>
      </w:r>
      <w:r w:rsidRPr="0050151C">
        <w:rPr>
          <w:rFonts w:ascii="Arial" w:hAnsi="Arial" w:cs="Arial"/>
          <w:sz w:val="24"/>
        </w:rPr>
        <w:t>evisiter les modalités d’intervention du FIPHFP en garantissant le niveau de qualité et de réactivité</w:t>
      </w:r>
      <w:r>
        <w:rPr>
          <w:rFonts w:ascii="Arial" w:hAnsi="Arial" w:cs="Arial"/>
          <w:sz w:val="24"/>
        </w:rPr>
        <w:t>, de m</w:t>
      </w:r>
      <w:r w:rsidRPr="0050151C">
        <w:rPr>
          <w:rFonts w:ascii="Arial" w:hAnsi="Arial" w:cs="Arial"/>
          <w:sz w:val="24"/>
        </w:rPr>
        <w:t>aîtriser la trajectoire financière.</w:t>
      </w:r>
    </w:p>
    <w:p w14:paraId="4AC96569" w14:textId="47F3F870" w:rsidR="00E43B6A" w:rsidRDefault="00E43B6A" w:rsidP="00C1257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F5C35A8" w14:textId="532B9A40" w:rsidR="002A1497" w:rsidRPr="00C1257E" w:rsidRDefault="002A1497" w:rsidP="00C1257E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1257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Interventions :</w:t>
      </w:r>
    </w:p>
    <w:p w14:paraId="2FA3F305" w14:textId="77777777" w:rsidR="00C0366B" w:rsidRDefault="00D36FC4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Le comité national a examiné et adopté </w:t>
      </w:r>
      <w:r w:rsidR="00B7744E">
        <w:rPr>
          <w:rFonts w:ascii="Arial" w:hAnsi="Arial" w:cs="Arial"/>
          <w:b/>
          <w:bCs/>
          <w:sz w:val="24"/>
        </w:rPr>
        <w:t>2</w:t>
      </w:r>
      <w:r w:rsidRPr="00C1257E">
        <w:rPr>
          <w:rFonts w:ascii="Arial" w:hAnsi="Arial" w:cs="Arial"/>
          <w:b/>
          <w:bCs/>
          <w:sz w:val="24"/>
        </w:rPr>
        <w:t xml:space="preserve"> demandes de renouvellement de</w:t>
      </w:r>
      <w:r w:rsidR="002A1497" w:rsidRPr="00C1257E">
        <w:rPr>
          <w:rFonts w:ascii="Arial" w:hAnsi="Arial" w:cs="Arial"/>
          <w:b/>
          <w:bCs/>
          <w:sz w:val="24"/>
          <w:szCs w:val="24"/>
        </w:rPr>
        <w:t xml:space="preserve"> convention</w:t>
      </w:r>
      <w:r w:rsidRPr="00C1257E">
        <w:rPr>
          <w:rFonts w:ascii="Arial" w:hAnsi="Arial" w:cs="Arial"/>
          <w:b/>
          <w:bCs/>
          <w:sz w:val="24"/>
          <w:szCs w:val="24"/>
        </w:rPr>
        <w:t>s</w:t>
      </w:r>
      <w:r w:rsidR="002A1497" w:rsidRPr="00C1257E">
        <w:rPr>
          <w:rFonts w:ascii="Arial" w:hAnsi="Arial" w:cs="Arial"/>
          <w:b/>
          <w:bCs/>
          <w:sz w:val="24"/>
          <w:szCs w:val="24"/>
        </w:rPr>
        <w:t xml:space="preserve"> </w:t>
      </w:r>
      <w:r w:rsidR="008E38E0" w:rsidRPr="00C1257E">
        <w:rPr>
          <w:rFonts w:ascii="Arial" w:hAnsi="Arial" w:cs="Arial"/>
          <w:b/>
          <w:bCs/>
          <w:sz w:val="24"/>
          <w:szCs w:val="24"/>
        </w:rPr>
        <w:t>relative</w:t>
      </w:r>
      <w:r w:rsidRPr="00C1257E">
        <w:rPr>
          <w:rFonts w:ascii="Arial" w:hAnsi="Arial" w:cs="Arial"/>
          <w:b/>
          <w:bCs/>
          <w:sz w:val="24"/>
          <w:szCs w:val="24"/>
        </w:rPr>
        <w:t>s</w:t>
      </w:r>
      <w:r w:rsidR="008E38E0" w:rsidRPr="00C1257E">
        <w:rPr>
          <w:rFonts w:ascii="Arial" w:hAnsi="Arial" w:cs="Arial"/>
          <w:b/>
          <w:bCs/>
          <w:sz w:val="24"/>
          <w:szCs w:val="24"/>
        </w:rPr>
        <w:t xml:space="preserve"> au financement d’actions</w:t>
      </w:r>
      <w:r w:rsidRPr="00D36FC4">
        <w:rPr>
          <w:rFonts w:ascii="Arial" w:hAnsi="Arial" w:cs="Arial"/>
          <w:sz w:val="24"/>
          <w:szCs w:val="24"/>
        </w:rPr>
        <w:t xml:space="preserve"> avec</w:t>
      </w:r>
      <w:r w:rsidR="00C0366B">
        <w:rPr>
          <w:rFonts w:ascii="Arial" w:hAnsi="Arial" w:cs="Arial"/>
          <w:sz w:val="24"/>
          <w:szCs w:val="24"/>
        </w:rPr>
        <w:t> :</w:t>
      </w:r>
    </w:p>
    <w:p w14:paraId="52766BE7" w14:textId="15D917DD" w:rsidR="00C0366B" w:rsidRPr="00C0366B" w:rsidRDefault="00C0366B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l’INRIA </w:t>
      </w:r>
      <w:r w:rsidRPr="00803FC9">
        <w:rPr>
          <w:rFonts w:ascii="Arial" w:hAnsi="Arial" w:cs="Arial"/>
          <w:sz w:val="24"/>
        </w:rPr>
        <w:t xml:space="preserve">(Institut </w:t>
      </w:r>
      <w:r w:rsidR="00CE391F">
        <w:rPr>
          <w:rFonts w:ascii="Arial" w:hAnsi="Arial" w:cs="Arial"/>
          <w:sz w:val="24"/>
        </w:rPr>
        <w:t>n</w:t>
      </w:r>
      <w:r w:rsidRPr="00803FC9">
        <w:rPr>
          <w:rFonts w:ascii="Arial" w:hAnsi="Arial" w:cs="Arial"/>
          <w:sz w:val="24"/>
        </w:rPr>
        <w:t xml:space="preserve">ational de recherches en sciences et </w:t>
      </w:r>
      <w:r w:rsidRPr="00BD1876">
        <w:rPr>
          <w:rFonts w:ascii="Arial" w:hAnsi="Arial" w:cs="Arial"/>
          <w:sz w:val="24"/>
        </w:rPr>
        <w:t>technologies du numérique)</w:t>
      </w:r>
      <w:r>
        <w:rPr>
          <w:rFonts w:ascii="Arial" w:hAnsi="Arial" w:cs="Arial"/>
          <w:sz w:val="24"/>
        </w:rPr>
        <w:t xml:space="preserve"> : convention transitoire pour l’année 2021. L’INRIA </w:t>
      </w:r>
      <w:r w:rsidRPr="00C0366B">
        <w:rPr>
          <w:rFonts w:ascii="Arial" w:hAnsi="Arial" w:cs="Arial"/>
          <w:sz w:val="24"/>
          <w:szCs w:val="24"/>
        </w:rPr>
        <w:t>a atteint un taux d’emploi de 2,15% en 2019</w:t>
      </w:r>
      <w:r>
        <w:rPr>
          <w:rFonts w:ascii="Arial" w:hAnsi="Arial" w:cs="Arial"/>
          <w:sz w:val="24"/>
          <w:szCs w:val="24"/>
        </w:rPr>
        <w:t xml:space="preserve"> et ambitionne d’atteindre un taux d’emploi direct de 6% </w:t>
      </w:r>
      <w:r w:rsidRPr="00314CE6">
        <w:rPr>
          <w:rFonts w:ascii="Arial" w:hAnsi="Arial" w:cs="Arial"/>
          <w:sz w:val="24"/>
        </w:rPr>
        <w:t>(15 recrutements réservés « décret 95 » et 10 apprentis</w:t>
      </w:r>
      <w:r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3EA2D6" w14:textId="7BFCE240" w:rsidR="00C0366B" w:rsidRDefault="00C0366B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- </w:t>
      </w:r>
      <w:r w:rsidR="00B7744E">
        <w:rPr>
          <w:rFonts w:ascii="Arial" w:hAnsi="Arial" w:cs="Arial"/>
          <w:sz w:val="24"/>
          <w:szCs w:val="24"/>
        </w:rPr>
        <w:t>l’INJS (Institut National de Jeunes Sourds) de Paris</w:t>
      </w:r>
      <w:r>
        <w:rPr>
          <w:rFonts w:ascii="Arial" w:hAnsi="Arial" w:cs="Arial"/>
          <w:sz w:val="24"/>
          <w:szCs w:val="24"/>
        </w:rPr>
        <w:t> : convention biennale 2021-2023</w:t>
      </w:r>
      <w:r w:rsidR="00D36F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Le taux d’emploi direct, même s’il baisse, reste très élevé (13% fin 2019)</w:t>
      </w:r>
      <w:r w:rsidR="00EA2E11">
        <w:rPr>
          <w:rFonts w:ascii="Arial" w:hAnsi="Arial" w:cs="Arial"/>
          <w:sz w:val="24"/>
          <w:szCs w:val="24"/>
        </w:rPr>
        <w:t xml:space="preserve"> qu’il souhaite maintenir</w:t>
      </w:r>
      <w:r w:rsidRPr="00C0366B">
        <w:rPr>
          <w:rFonts w:ascii="Arial" w:hAnsi="Arial" w:cs="Arial"/>
          <w:sz w:val="24"/>
          <w:szCs w:val="24"/>
        </w:rPr>
        <w:t>.</w:t>
      </w:r>
    </w:p>
    <w:p w14:paraId="261EF76A" w14:textId="77777777" w:rsidR="00B43684" w:rsidRDefault="00CE7017" w:rsidP="00B43684">
      <w:pPr>
        <w:spacing w:after="0" w:line="276" w:lineRule="auto"/>
        <w:jc w:val="both"/>
        <w:rPr>
          <w:rFonts w:ascii="Arial" w:hAnsi="Arial" w:cs="Arial"/>
          <w:sz w:val="24"/>
        </w:rPr>
      </w:pPr>
      <w:r w:rsidRPr="00BF5006">
        <w:rPr>
          <w:rFonts w:ascii="Arial" w:hAnsi="Arial" w:cs="Arial"/>
          <w:b/>
          <w:bCs/>
          <w:sz w:val="24"/>
        </w:rPr>
        <w:t>L’aide au financement de masques inclusifs par le FIPHFP</w:t>
      </w:r>
      <w:r>
        <w:rPr>
          <w:rFonts w:ascii="Arial" w:hAnsi="Arial" w:cs="Arial"/>
          <w:sz w:val="24"/>
        </w:rPr>
        <w:t xml:space="preserve"> a fait débat. En effet, la gouvernance du FIPHFP s’était engagée à financer ce type de masque </w:t>
      </w:r>
      <w:r w:rsidR="00B43684">
        <w:rPr>
          <w:rFonts w:ascii="Arial" w:hAnsi="Arial" w:cs="Arial"/>
          <w:sz w:val="24"/>
        </w:rPr>
        <w:t xml:space="preserve">à hauteur de 80% dans la limite de 12€ de prise en charge (à la place du surcoût appliqué à l’accoutumée) </w:t>
      </w:r>
      <w:r>
        <w:rPr>
          <w:rFonts w:ascii="Arial" w:hAnsi="Arial" w:cs="Arial"/>
          <w:sz w:val="24"/>
        </w:rPr>
        <w:t xml:space="preserve">sans que cela soit acté par le comité national. </w:t>
      </w:r>
      <w:r w:rsidR="00B43684">
        <w:rPr>
          <w:rFonts w:ascii="Arial" w:hAnsi="Arial" w:cs="Arial"/>
          <w:sz w:val="24"/>
        </w:rPr>
        <w:t>Finalement, le f</w:t>
      </w:r>
      <w:r>
        <w:rPr>
          <w:rFonts w:ascii="Arial" w:hAnsi="Arial" w:cs="Arial"/>
          <w:sz w:val="24"/>
        </w:rPr>
        <w:t>inancement du coût du masque au-delà de 5€ dans la limite de 5€ par masque</w:t>
      </w:r>
      <w:r w:rsidR="00B43684">
        <w:rPr>
          <w:rFonts w:ascii="Arial" w:hAnsi="Arial" w:cs="Arial"/>
          <w:sz w:val="24"/>
        </w:rPr>
        <w:t xml:space="preserve"> a été la solution retenue : cela correspond au financement du surcoût avec un petit bonus pour les employeurs</w:t>
      </w:r>
    </w:p>
    <w:p w14:paraId="45D12617" w14:textId="114F35B5" w:rsidR="00CE7017" w:rsidRPr="00B43684" w:rsidRDefault="00B43684" w:rsidP="00B43684">
      <w:pPr>
        <w:spacing w:line="276" w:lineRule="auto"/>
        <w:jc w:val="both"/>
        <w:rPr>
          <w:rFonts w:ascii="Arial" w:hAnsi="Arial" w:cs="Arial"/>
          <w:sz w:val="24"/>
        </w:rPr>
      </w:pPr>
      <w:r w:rsidRPr="00B43684">
        <w:rPr>
          <w:rFonts w:ascii="Arial" w:hAnsi="Arial" w:cs="Arial"/>
          <w:b/>
          <w:bCs/>
          <w:sz w:val="24"/>
        </w:rPr>
        <w:t>Le</w:t>
      </w:r>
      <w:r w:rsidR="00CE7017" w:rsidRPr="00B43684">
        <w:rPr>
          <w:rFonts w:ascii="Arial" w:hAnsi="Arial" w:cs="Arial"/>
          <w:b/>
          <w:bCs/>
          <w:sz w:val="24"/>
        </w:rPr>
        <w:t xml:space="preserve"> </w:t>
      </w:r>
      <w:r w:rsidR="00CE7017" w:rsidRPr="00CC2546">
        <w:rPr>
          <w:rFonts w:ascii="Arial" w:hAnsi="Arial" w:cs="Arial"/>
          <w:b/>
          <w:bCs/>
          <w:sz w:val="24"/>
        </w:rPr>
        <w:t>catalogue des interventions</w:t>
      </w:r>
      <w:r w:rsidR="00CE7017" w:rsidRPr="00CC2546">
        <w:rPr>
          <w:rFonts w:ascii="Arial" w:hAnsi="Arial" w:cs="Arial"/>
          <w:sz w:val="24"/>
        </w:rPr>
        <w:t xml:space="preserve"> a été </w:t>
      </w:r>
      <w:r>
        <w:rPr>
          <w:rFonts w:ascii="Arial" w:hAnsi="Arial" w:cs="Arial"/>
          <w:sz w:val="24"/>
        </w:rPr>
        <w:t xml:space="preserve">modifié : </w:t>
      </w:r>
      <w:r w:rsidR="00CE7017" w:rsidRPr="00CC2546">
        <w:rPr>
          <w:rFonts w:ascii="Arial" w:hAnsi="Arial" w:cs="Arial"/>
          <w:sz w:val="24"/>
        </w:rPr>
        <w:t xml:space="preserve">fusion de deux aides concernant le transport adapté et l’aménagement du véhicule personnel en une seule aide : </w:t>
      </w:r>
      <w:r>
        <w:rPr>
          <w:rFonts w:ascii="Arial" w:hAnsi="Arial" w:cs="Arial"/>
          <w:sz w:val="24"/>
        </w:rPr>
        <w:t>« </w:t>
      </w:r>
      <w:r w:rsidR="00CE7017" w:rsidRPr="00CC2546">
        <w:rPr>
          <w:rFonts w:ascii="Arial" w:hAnsi="Arial" w:cs="Arial"/>
          <w:sz w:val="24"/>
        </w:rPr>
        <w:t xml:space="preserve">aide aux déplacements ». </w:t>
      </w:r>
    </w:p>
    <w:p w14:paraId="05615D7F" w14:textId="2AAEC983" w:rsidR="002A1497" w:rsidRPr="008C4353" w:rsidRDefault="002A1497" w:rsidP="00C125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257E">
        <w:rPr>
          <w:rFonts w:ascii="Arial" w:hAnsi="Arial" w:cs="Arial"/>
          <w:b/>
          <w:bCs/>
          <w:sz w:val="24"/>
          <w:szCs w:val="24"/>
          <w:u w:val="single"/>
        </w:rPr>
        <w:t>Partenariat et communication :</w:t>
      </w:r>
    </w:p>
    <w:p w14:paraId="767C4CEA" w14:textId="53779DAD" w:rsidR="008E38E0" w:rsidRDefault="00B43684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3684">
        <w:rPr>
          <w:rFonts w:ascii="Arial" w:hAnsi="Arial" w:cs="Arial"/>
          <w:b/>
          <w:bCs/>
          <w:sz w:val="24"/>
          <w:szCs w:val="24"/>
        </w:rPr>
        <w:t>La communication</w:t>
      </w:r>
      <w:r>
        <w:rPr>
          <w:rFonts w:ascii="Arial" w:hAnsi="Arial" w:cs="Arial"/>
          <w:sz w:val="24"/>
          <w:szCs w:val="24"/>
        </w:rPr>
        <w:t xml:space="preserve"> au sein du FIPHFP a fait peau neuve</w:t>
      </w:r>
      <w:r w:rsidR="00C0366B">
        <w:rPr>
          <w:rFonts w:ascii="Arial" w:hAnsi="Arial" w:cs="Arial"/>
          <w:sz w:val="24"/>
          <w:szCs w:val="24"/>
        </w:rPr>
        <w:t> : développement des réseaux sociaux, enrichissement de la newsletter, organisation de webinaires..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489061" w14:textId="77777777" w:rsidR="00E24228" w:rsidRPr="00E43B6A" w:rsidRDefault="00E24228" w:rsidP="00C125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E3948F" w14:textId="0E83D34D" w:rsidR="00E24228" w:rsidRPr="00C1257E" w:rsidRDefault="00E24228" w:rsidP="00E24228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Conseil scientifique</w:t>
      </w:r>
      <w:r w:rsidRPr="00C1257E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6BD6BAA8" w14:textId="784A5FDB" w:rsidR="00B43684" w:rsidRPr="00B43684" w:rsidRDefault="00B43684" w:rsidP="00B4368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43684">
        <w:rPr>
          <w:rFonts w:ascii="Arial" w:hAnsi="Arial" w:cs="Arial"/>
          <w:sz w:val="24"/>
          <w:szCs w:val="24"/>
        </w:rPr>
        <w:t>n groupe de travail chargé d’élaborer des propositions de rédaction d’</w:t>
      </w:r>
      <w:r w:rsidRPr="00B43684">
        <w:rPr>
          <w:rFonts w:ascii="Arial" w:hAnsi="Arial" w:cs="Arial"/>
          <w:b/>
          <w:bCs/>
          <w:sz w:val="24"/>
          <w:szCs w:val="24"/>
        </w:rPr>
        <w:t xml:space="preserve">une charte </w:t>
      </w:r>
      <w:r w:rsidRPr="00B43684">
        <w:rPr>
          <w:rFonts w:ascii="Arial" w:hAnsi="Arial" w:cs="Arial"/>
          <w:sz w:val="24"/>
          <w:szCs w:val="24"/>
        </w:rPr>
        <w:t>annexée au règlement intérieur, relative aux modalités de bon fonctionnement du conseil scientifique ainsi qu’aux relations qu’il doit entretenir avec le comité national</w:t>
      </w:r>
      <w:r>
        <w:rPr>
          <w:rFonts w:ascii="Arial" w:hAnsi="Arial" w:cs="Arial"/>
          <w:sz w:val="24"/>
          <w:szCs w:val="24"/>
        </w:rPr>
        <w:t xml:space="preserve"> a été créé</w:t>
      </w:r>
      <w:r w:rsidRPr="00B43684">
        <w:rPr>
          <w:rFonts w:ascii="Arial" w:hAnsi="Arial" w:cs="Arial"/>
          <w:sz w:val="24"/>
          <w:szCs w:val="24"/>
        </w:rPr>
        <w:t xml:space="preserve">. </w:t>
      </w:r>
    </w:p>
    <w:p w14:paraId="42E1D07B" w14:textId="0D9E2224" w:rsidR="00E24228" w:rsidRDefault="001722F6" w:rsidP="00E2422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F2DBD3" wp14:editId="39D249ED">
            <wp:extent cx="6120130" cy="3442335"/>
            <wp:effectExtent l="0" t="0" r="0" b="5715"/>
            <wp:docPr id="3" name="Image 3" descr="Carte des représentants FO au FIPH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arte des représentants FO au FIPHF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504F" w14:textId="61200B51" w:rsidR="00046632" w:rsidRPr="00046632" w:rsidRDefault="00046632" w:rsidP="00C1257E">
      <w:pPr>
        <w:shd w:val="clear" w:color="auto" w:fill="00FF99"/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46632">
        <w:rPr>
          <w:rFonts w:ascii="Arial" w:hAnsi="Arial" w:cs="Arial"/>
          <w:b/>
          <w:bCs/>
          <w:sz w:val="40"/>
          <w:szCs w:val="40"/>
        </w:rPr>
        <w:lastRenderedPageBreak/>
        <w:t>Comités locaux</w:t>
      </w:r>
    </w:p>
    <w:p w14:paraId="6C30A26A" w14:textId="23E47F1E" w:rsidR="00990B8B" w:rsidRPr="00CE7017" w:rsidRDefault="00CE7017" w:rsidP="00CE70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7017">
        <w:rPr>
          <w:rFonts w:ascii="Arial" w:hAnsi="Arial" w:cs="Arial"/>
          <w:sz w:val="24"/>
          <w:szCs w:val="24"/>
        </w:rPr>
        <w:t xml:space="preserve">Concernant les </w:t>
      </w:r>
      <w:r w:rsidR="006262C8" w:rsidRPr="00CE7017">
        <w:rPr>
          <w:rFonts w:ascii="Arial" w:hAnsi="Arial" w:cs="Arial"/>
          <w:sz w:val="24"/>
          <w:szCs w:val="24"/>
        </w:rPr>
        <w:t>comités</w:t>
      </w:r>
      <w:r w:rsidR="00990B8B" w:rsidRPr="00CE7017">
        <w:rPr>
          <w:rFonts w:ascii="Arial" w:hAnsi="Arial" w:cs="Arial"/>
          <w:sz w:val="24"/>
          <w:szCs w:val="24"/>
        </w:rPr>
        <w:t xml:space="preserve"> locaux</w:t>
      </w:r>
      <w:r w:rsidRPr="00CE7017">
        <w:rPr>
          <w:rFonts w:ascii="Arial" w:hAnsi="Arial" w:cs="Arial"/>
          <w:sz w:val="24"/>
          <w:szCs w:val="24"/>
        </w:rPr>
        <w:t>, s</w:t>
      </w:r>
      <w:r w:rsidR="00E12FD5" w:rsidRPr="00CE7017">
        <w:rPr>
          <w:rFonts w:ascii="Arial" w:hAnsi="Arial" w:cs="Arial"/>
          <w:sz w:val="24"/>
          <w:szCs w:val="24"/>
        </w:rPr>
        <w:t xml:space="preserve">ur les 17 comités locaux, </w:t>
      </w:r>
      <w:r w:rsidRPr="00CE7017">
        <w:rPr>
          <w:rFonts w:ascii="Arial" w:hAnsi="Arial" w:cs="Arial"/>
          <w:sz w:val="24"/>
          <w:szCs w:val="24"/>
        </w:rPr>
        <w:t>2</w:t>
      </w:r>
      <w:r w:rsidR="00E12FD5" w:rsidRPr="00CE7017">
        <w:rPr>
          <w:rFonts w:ascii="Arial" w:hAnsi="Arial" w:cs="Arial"/>
          <w:sz w:val="24"/>
          <w:szCs w:val="24"/>
        </w:rPr>
        <w:t xml:space="preserve"> sont toujours en attente d’installation (Guadeloupe et Guyane). </w:t>
      </w:r>
    </w:p>
    <w:p w14:paraId="255F0269" w14:textId="49DA1ED6" w:rsidR="00046632" w:rsidRDefault="00CE7017" w:rsidP="00D75D5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990B8B" w:rsidRPr="005C0F41">
        <w:rPr>
          <w:rFonts w:ascii="Arial" w:hAnsi="Arial" w:cs="Arial"/>
          <w:b/>
          <w:bCs/>
          <w:sz w:val="24"/>
          <w:szCs w:val="24"/>
          <w:u w:val="single"/>
        </w:rPr>
        <w:t xml:space="preserve">e comité local </w:t>
      </w:r>
      <w:r w:rsidR="00D75D51">
        <w:rPr>
          <w:rFonts w:ascii="Arial" w:hAnsi="Arial" w:cs="Arial"/>
          <w:b/>
          <w:bCs/>
          <w:sz w:val="24"/>
          <w:szCs w:val="24"/>
          <w:u w:val="single"/>
        </w:rPr>
        <w:t>Pays de Loire</w:t>
      </w:r>
      <w:r w:rsidR="00990B8B">
        <w:rPr>
          <w:rFonts w:ascii="Arial" w:hAnsi="Arial" w:cs="Arial"/>
          <w:sz w:val="24"/>
          <w:szCs w:val="24"/>
        </w:rPr>
        <w:t xml:space="preserve"> </w:t>
      </w:r>
      <w:r w:rsidR="00D75D51">
        <w:rPr>
          <w:rFonts w:ascii="Arial" w:hAnsi="Arial" w:cs="Arial"/>
          <w:sz w:val="24"/>
          <w:szCs w:val="24"/>
        </w:rPr>
        <w:t>a tenu sa première réunion</w:t>
      </w:r>
      <w:r w:rsidR="00990B8B">
        <w:rPr>
          <w:rFonts w:ascii="Arial" w:hAnsi="Arial" w:cs="Arial"/>
          <w:sz w:val="24"/>
          <w:szCs w:val="24"/>
        </w:rPr>
        <w:t xml:space="preserve"> le </w:t>
      </w:r>
      <w:r w:rsidR="00D75D51">
        <w:rPr>
          <w:rFonts w:ascii="Arial" w:hAnsi="Arial" w:cs="Arial"/>
          <w:sz w:val="24"/>
          <w:szCs w:val="24"/>
        </w:rPr>
        <w:t>9 novembre 2020</w:t>
      </w:r>
      <w:r w:rsidR="00493A19">
        <w:rPr>
          <w:rFonts w:ascii="Arial" w:hAnsi="Arial" w:cs="Arial"/>
          <w:sz w:val="24"/>
          <w:szCs w:val="24"/>
        </w:rPr>
        <w:t xml:space="preserve"> puis une 2</w:t>
      </w:r>
      <w:r w:rsidR="00493A19" w:rsidRPr="00493A19">
        <w:rPr>
          <w:rFonts w:ascii="Arial" w:hAnsi="Arial" w:cs="Arial"/>
          <w:sz w:val="24"/>
          <w:szCs w:val="24"/>
          <w:vertAlign w:val="superscript"/>
        </w:rPr>
        <w:t>e</w:t>
      </w:r>
      <w:r w:rsidR="00493A19">
        <w:rPr>
          <w:rFonts w:ascii="Arial" w:hAnsi="Arial" w:cs="Arial"/>
          <w:sz w:val="24"/>
          <w:szCs w:val="24"/>
        </w:rPr>
        <w:t xml:space="preserve"> le 15 décembre</w:t>
      </w:r>
      <w:r w:rsidR="00990B8B">
        <w:rPr>
          <w:rFonts w:ascii="Arial" w:hAnsi="Arial" w:cs="Arial"/>
          <w:sz w:val="24"/>
          <w:szCs w:val="24"/>
        </w:rPr>
        <w:t xml:space="preserve"> et a </w:t>
      </w:r>
      <w:r w:rsidR="00432170">
        <w:rPr>
          <w:rFonts w:ascii="Arial" w:hAnsi="Arial" w:cs="Arial"/>
          <w:sz w:val="24"/>
          <w:szCs w:val="24"/>
        </w:rPr>
        <w:t>adopté</w:t>
      </w:r>
      <w:r w:rsidR="00990B8B">
        <w:rPr>
          <w:rFonts w:ascii="Arial" w:hAnsi="Arial" w:cs="Arial"/>
          <w:sz w:val="24"/>
          <w:szCs w:val="24"/>
        </w:rPr>
        <w:t xml:space="preserve"> </w:t>
      </w:r>
      <w:r w:rsidR="006F7E03">
        <w:rPr>
          <w:rFonts w:ascii="Arial" w:hAnsi="Arial" w:cs="Arial"/>
          <w:sz w:val="24"/>
          <w:szCs w:val="24"/>
        </w:rPr>
        <w:t>4</w:t>
      </w:r>
      <w:r w:rsidR="00990B8B">
        <w:rPr>
          <w:rFonts w:ascii="Arial" w:hAnsi="Arial" w:cs="Arial"/>
          <w:sz w:val="24"/>
          <w:szCs w:val="24"/>
        </w:rPr>
        <w:t xml:space="preserve"> conventionnements :</w:t>
      </w:r>
    </w:p>
    <w:p w14:paraId="05E65A8D" w14:textId="579BE416" w:rsidR="00990B8B" w:rsidRPr="00A912FC" w:rsidRDefault="00A912FC" w:rsidP="00C1257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A912FC">
        <w:rPr>
          <w:rFonts w:ascii="Arial" w:hAnsi="Arial" w:cs="Arial"/>
          <w:b/>
          <w:bCs/>
          <w:sz w:val="24"/>
          <w:szCs w:val="24"/>
        </w:rPr>
        <w:t>b</w:t>
      </w:r>
      <w:r w:rsidR="00990B8B" w:rsidRPr="00A912FC">
        <w:rPr>
          <w:rFonts w:ascii="Arial" w:hAnsi="Arial" w:cs="Arial"/>
          <w:b/>
          <w:bCs/>
          <w:sz w:val="24"/>
          <w:szCs w:val="24"/>
        </w:rPr>
        <w:t>iennal</w:t>
      </w:r>
      <w:proofErr w:type="gramEnd"/>
      <w:r w:rsidRPr="00A912FC">
        <w:rPr>
          <w:rFonts w:ascii="Arial" w:hAnsi="Arial" w:cs="Arial"/>
          <w:b/>
          <w:bCs/>
          <w:sz w:val="24"/>
          <w:szCs w:val="24"/>
        </w:rPr>
        <w:t xml:space="preserve"> (2020-2022)</w:t>
      </w:r>
      <w:r w:rsidR="00990B8B" w:rsidRPr="00A912FC">
        <w:rPr>
          <w:rFonts w:ascii="Arial" w:hAnsi="Arial" w:cs="Arial"/>
          <w:b/>
          <w:bCs/>
          <w:sz w:val="24"/>
          <w:szCs w:val="24"/>
        </w:rPr>
        <w:t xml:space="preserve"> </w:t>
      </w:r>
      <w:r w:rsidR="00D75D51" w:rsidRPr="00A912FC">
        <w:rPr>
          <w:rFonts w:ascii="Arial" w:hAnsi="Arial" w:cs="Arial"/>
          <w:b/>
          <w:bCs/>
          <w:sz w:val="24"/>
          <w:szCs w:val="24"/>
        </w:rPr>
        <w:t>entre Angers Métropole Ville</w:t>
      </w:r>
      <w:r w:rsidRPr="00A912FC">
        <w:rPr>
          <w:rFonts w:ascii="Arial" w:hAnsi="Arial" w:cs="Arial"/>
          <w:b/>
          <w:bCs/>
          <w:sz w:val="24"/>
          <w:szCs w:val="24"/>
        </w:rPr>
        <w:t>,</w:t>
      </w:r>
      <w:r w:rsidR="00D75D51" w:rsidRPr="00A912FC">
        <w:rPr>
          <w:rFonts w:ascii="Arial" w:hAnsi="Arial" w:cs="Arial"/>
          <w:b/>
          <w:bCs/>
          <w:sz w:val="24"/>
          <w:szCs w:val="24"/>
        </w:rPr>
        <w:t xml:space="preserve"> CCAS</w:t>
      </w:r>
      <w:r w:rsidR="00990B8B" w:rsidRPr="00A912FC">
        <w:rPr>
          <w:rFonts w:ascii="Arial" w:hAnsi="Arial" w:cs="Arial"/>
          <w:b/>
          <w:bCs/>
          <w:sz w:val="24"/>
          <w:szCs w:val="24"/>
        </w:rPr>
        <w:t xml:space="preserve"> </w:t>
      </w:r>
      <w:r w:rsidR="00CE391F" w:rsidRPr="00CE391F">
        <w:rPr>
          <w:rFonts w:ascii="Arial" w:hAnsi="Arial" w:cs="Arial"/>
          <w:sz w:val="24"/>
          <w:szCs w:val="24"/>
        </w:rPr>
        <w:t>(Centre Communal d’Action Sociale)</w:t>
      </w:r>
      <w:r w:rsidR="00CE39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12FC">
        <w:rPr>
          <w:rFonts w:ascii="Arial" w:hAnsi="Arial" w:cs="Arial"/>
          <w:b/>
          <w:bCs/>
          <w:sz w:val="24"/>
          <w:szCs w:val="24"/>
        </w:rPr>
        <w:t>et</w:t>
      </w:r>
      <w:r w:rsidR="00990B8B" w:rsidRPr="00A912FC">
        <w:rPr>
          <w:rFonts w:ascii="Arial" w:hAnsi="Arial" w:cs="Arial"/>
          <w:b/>
          <w:bCs/>
          <w:sz w:val="24"/>
          <w:szCs w:val="24"/>
        </w:rPr>
        <w:t xml:space="preserve"> le FIPHFP</w:t>
      </w:r>
      <w:r w:rsidR="008D3239" w:rsidRPr="00A912FC">
        <w:rPr>
          <w:rFonts w:ascii="Arial" w:hAnsi="Arial" w:cs="Arial"/>
          <w:sz w:val="24"/>
          <w:szCs w:val="24"/>
        </w:rPr>
        <w:t xml:space="preserve">. Sur la convention précédente, </w:t>
      </w:r>
      <w:r w:rsidRPr="00A912FC">
        <w:rPr>
          <w:rFonts w:ascii="Arial" w:hAnsi="Arial" w:cs="Arial"/>
          <w:sz w:val="24"/>
          <w:szCs w:val="24"/>
        </w:rPr>
        <w:t>Angers Métropole Ville et CCAS</w:t>
      </w:r>
      <w:r w:rsidR="008D3239" w:rsidRPr="00A912FC">
        <w:rPr>
          <w:rFonts w:ascii="Arial" w:hAnsi="Arial" w:cs="Arial"/>
          <w:sz w:val="24"/>
          <w:szCs w:val="24"/>
        </w:rPr>
        <w:t xml:space="preserve"> a utilisé</w:t>
      </w:r>
      <w:r w:rsidRPr="00A912FC">
        <w:rPr>
          <w:rFonts w:ascii="Arial" w:hAnsi="Arial" w:cs="Arial"/>
          <w:sz w:val="24"/>
          <w:szCs w:val="24"/>
        </w:rPr>
        <w:t xml:space="preserve"> presque</w:t>
      </w:r>
      <w:r w:rsidR="008D3239" w:rsidRPr="00A912FC">
        <w:rPr>
          <w:rFonts w:ascii="Arial" w:hAnsi="Arial" w:cs="Arial"/>
          <w:sz w:val="24"/>
          <w:szCs w:val="24"/>
        </w:rPr>
        <w:t xml:space="preserve"> 9</w:t>
      </w:r>
      <w:r w:rsidRPr="00A912FC">
        <w:rPr>
          <w:rFonts w:ascii="Arial" w:hAnsi="Arial" w:cs="Arial"/>
          <w:sz w:val="24"/>
          <w:szCs w:val="24"/>
        </w:rPr>
        <w:t>4</w:t>
      </w:r>
      <w:r w:rsidR="008D3239" w:rsidRPr="00A912FC">
        <w:rPr>
          <w:rFonts w:ascii="Arial" w:hAnsi="Arial" w:cs="Arial"/>
          <w:sz w:val="24"/>
          <w:szCs w:val="24"/>
        </w:rPr>
        <w:t xml:space="preserve">% </w:t>
      </w:r>
      <w:r w:rsidRPr="00A912FC">
        <w:rPr>
          <w:rFonts w:ascii="Arial" w:hAnsi="Arial" w:cs="Arial"/>
          <w:sz w:val="24"/>
          <w:szCs w:val="24"/>
        </w:rPr>
        <w:t>de la dotation globale</w:t>
      </w:r>
      <w:r w:rsidR="008D3239" w:rsidRPr="00A912FC">
        <w:rPr>
          <w:rFonts w:ascii="Arial" w:hAnsi="Arial" w:cs="Arial"/>
          <w:sz w:val="24"/>
          <w:szCs w:val="24"/>
        </w:rPr>
        <w:t xml:space="preserve">, a atteint </w:t>
      </w:r>
      <w:r w:rsidRPr="00A912FC">
        <w:rPr>
          <w:rFonts w:ascii="Arial" w:hAnsi="Arial" w:cs="Arial"/>
          <w:sz w:val="24"/>
          <w:szCs w:val="24"/>
        </w:rPr>
        <w:t xml:space="preserve">un taux d’emploi </w:t>
      </w:r>
      <w:r>
        <w:rPr>
          <w:rFonts w:ascii="Arial" w:hAnsi="Arial" w:cs="Arial"/>
          <w:sz w:val="24"/>
          <w:szCs w:val="24"/>
        </w:rPr>
        <w:t xml:space="preserve">direct </w:t>
      </w:r>
      <w:r w:rsidRPr="00A912FC">
        <w:rPr>
          <w:rFonts w:ascii="Arial" w:hAnsi="Arial" w:cs="Arial"/>
          <w:sz w:val="24"/>
          <w:szCs w:val="24"/>
        </w:rPr>
        <w:t xml:space="preserve">moyen </w:t>
      </w:r>
      <w:r w:rsidR="008D3239" w:rsidRPr="00A912FC">
        <w:rPr>
          <w:rFonts w:ascii="Arial" w:hAnsi="Arial" w:cs="Arial"/>
          <w:sz w:val="24"/>
          <w:szCs w:val="24"/>
        </w:rPr>
        <w:t xml:space="preserve">de </w:t>
      </w:r>
      <w:r w:rsidRPr="00A912FC">
        <w:rPr>
          <w:rFonts w:ascii="Arial" w:hAnsi="Arial" w:cs="Arial"/>
          <w:sz w:val="24"/>
          <w:szCs w:val="24"/>
        </w:rPr>
        <w:t>8,22</w:t>
      </w:r>
      <w:r w:rsidR="00CE7017" w:rsidRPr="00A912FC">
        <w:rPr>
          <w:rFonts w:ascii="Arial" w:hAnsi="Arial" w:cs="Arial"/>
          <w:sz w:val="24"/>
          <w:szCs w:val="24"/>
        </w:rPr>
        <w:t>%</w:t>
      </w:r>
      <w:r w:rsidRPr="00A912FC">
        <w:rPr>
          <w:rFonts w:ascii="Arial" w:hAnsi="Arial" w:cs="Arial"/>
          <w:sz w:val="24"/>
          <w:szCs w:val="24"/>
        </w:rPr>
        <w:t xml:space="preserve"> en 2019,</w:t>
      </w:r>
      <w:r w:rsidR="008D3239" w:rsidRPr="00A912FC">
        <w:rPr>
          <w:rFonts w:ascii="Arial" w:hAnsi="Arial" w:cs="Arial"/>
          <w:sz w:val="24"/>
          <w:szCs w:val="24"/>
        </w:rPr>
        <w:t xml:space="preserve"> a recruté 20 personnes dont </w:t>
      </w:r>
      <w:r w:rsidR="00CE7017" w:rsidRPr="00A912FC">
        <w:rPr>
          <w:rFonts w:ascii="Arial" w:hAnsi="Arial" w:cs="Arial"/>
          <w:sz w:val="24"/>
          <w:szCs w:val="24"/>
        </w:rPr>
        <w:t>10</w:t>
      </w:r>
      <w:r w:rsidR="008D3239" w:rsidRPr="00A912FC">
        <w:rPr>
          <w:rFonts w:ascii="Arial" w:hAnsi="Arial" w:cs="Arial"/>
          <w:sz w:val="24"/>
          <w:szCs w:val="24"/>
        </w:rPr>
        <w:t xml:space="preserve"> apprentis</w:t>
      </w:r>
      <w:r w:rsidR="00CE7017" w:rsidRPr="00A912FC">
        <w:rPr>
          <w:rFonts w:ascii="Arial" w:hAnsi="Arial" w:cs="Arial"/>
          <w:sz w:val="24"/>
          <w:szCs w:val="24"/>
        </w:rPr>
        <w:t xml:space="preserve"> / contrats aidés</w:t>
      </w:r>
      <w:r w:rsidRPr="00A912FC">
        <w:rPr>
          <w:rFonts w:ascii="Arial" w:hAnsi="Arial" w:cs="Arial"/>
          <w:sz w:val="24"/>
          <w:szCs w:val="24"/>
        </w:rPr>
        <w:t xml:space="preserve"> et a repositionné 122 agents pour raison de santé</w:t>
      </w:r>
      <w:r w:rsidR="008D3239" w:rsidRPr="00A912FC">
        <w:rPr>
          <w:rFonts w:ascii="Arial" w:hAnsi="Arial" w:cs="Arial"/>
          <w:sz w:val="24"/>
          <w:szCs w:val="24"/>
        </w:rPr>
        <w:t xml:space="preserve">. Ils ont </w:t>
      </w:r>
      <w:r w:rsidRPr="00A912FC">
        <w:rPr>
          <w:rFonts w:ascii="Arial" w:hAnsi="Arial" w:cs="Arial"/>
          <w:sz w:val="24"/>
          <w:szCs w:val="24"/>
        </w:rPr>
        <w:t>3,5 emplois</w:t>
      </w:r>
      <w:r w:rsidR="008D3239" w:rsidRPr="00A912FC">
        <w:rPr>
          <w:rFonts w:ascii="Arial" w:hAnsi="Arial" w:cs="Arial"/>
          <w:sz w:val="24"/>
          <w:szCs w:val="24"/>
        </w:rPr>
        <w:t xml:space="preserve"> temps plein</w:t>
      </w:r>
      <w:r w:rsidRPr="00A912FC">
        <w:rPr>
          <w:rFonts w:ascii="Arial" w:hAnsi="Arial" w:cs="Arial"/>
          <w:sz w:val="24"/>
          <w:szCs w:val="24"/>
        </w:rPr>
        <w:t xml:space="preserve"> s’occupant des B</w:t>
      </w:r>
      <w:r w:rsidR="00C21A25">
        <w:rPr>
          <w:rFonts w:ascii="Arial" w:hAnsi="Arial" w:cs="Arial"/>
          <w:sz w:val="24"/>
          <w:szCs w:val="24"/>
        </w:rPr>
        <w:t>énéficiaires de l’</w:t>
      </w:r>
      <w:r w:rsidRPr="00A912FC">
        <w:rPr>
          <w:rFonts w:ascii="Arial" w:hAnsi="Arial" w:cs="Arial"/>
          <w:sz w:val="24"/>
          <w:szCs w:val="24"/>
        </w:rPr>
        <w:t>O</w:t>
      </w:r>
      <w:r w:rsidR="00C21A25">
        <w:rPr>
          <w:rFonts w:ascii="Arial" w:hAnsi="Arial" w:cs="Arial"/>
          <w:sz w:val="24"/>
          <w:szCs w:val="24"/>
        </w:rPr>
        <w:t>bligation d’</w:t>
      </w:r>
      <w:r w:rsidRPr="00A912FC">
        <w:rPr>
          <w:rFonts w:ascii="Arial" w:hAnsi="Arial" w:cs="Arial"/>
          <w:sz w:val="24"/>
          <w:szCs w:val="24"/>
        </w:rPr>
        <w:t>E</w:t>
      </w:r>
      <w:r w:rsidR="00C21A25">
        <w:rPr>
          <w:rFonts w:ascii="Arial" w:hAnsi="Arial" w:cs="Arial"/>
          <w:sz w:val="24"/>
          <w:szCs w:val="24"/>
        </w:rPr>
        <w:t xml:space="preserve">mploi des </w:t>
      </w:r>
      <w:r w:rsidRPr="00A912FC">
        <w:rPr>
          <w:rFonts w:ascii="Arial" w:hAnsi="Arial" w:cs="Arial"/>
          <w:sz w:val="24"/>
          <w:szCs w:val="24"/>
        </w:rPr>
        <w:t>T</w:t>
      </w:r>
      <w:r w:rsidR="00C21A25">
        <w:rPr>
          <w:rFonts w:ascii="Arial" w:hAnsi="Arial" w:cs="Arial"/>
          <w:sz w:val="24"/>
          <w:szCs w:val="24"/>
        </w:rPr>
        <w:t xml:space="preserve">ravailleurs </w:t>
      </w:r>
      <w:r w:rsidRPr="00A912FC">
        <w:rPr>
          <w:rFonts w:ascii="Arial" w:hAnsi="Arial" w:cs="Arial"/>
          <w:sz w:val="24"/>
          <w:szCs w:val="24"/>
        </w:rPr>
        <w:t>H</w:t>
      </w:r>
      <w:r w:rsidR="00C21A25">
        <w:rPr>
          <w:rFonts w:ascii="Arial" w:hAnsi="Arial" w:cs="Arial"/>
          <w:sz w:val="24"/>
          <w:szCs w:val="24"/>
        </w:rPr>
        <w:t>andicapés (BOETH)</w:t>
      </w:r>
      <w:r w:rsidR="008D3239" w:rsidRPr="00A912FC">
        <w:rPr>
          <w:rFonts w:ascii="Arial" w:hAnsi="Arial" w:cs="Arial"/>
          <w:sz w:val="24"/>
          <w:szCs w:val="24"/>
        </w:rPr>
        <w:t>.</w:t>
      </w:r>
    </w:p>
    <w:p w14:paraId="118A6CAA" w14:textId="071C0146" w:rsidR="00D75D51" w:rsidRPr="00493A19" w:rsidRDefault="00493A19" w:rsidP="00ED4F9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493A19">
        <w:rPr>
          <w:rFonts w:ascii="Arial" w:hAnsi="Arial" w:cs="Arial"/>
          <w:b/>
          <w:bCs/>
          <w:sz w:val="24"/>
          <w:szCs w:val="24"/>
        </w:rPr>
        <w:t>triennal</w:t>
      </w:r>
      <w:proofErr w:type="gramEnd"/>
      <w:r w:rsidRPr="00493A19">
        <w:rPr>
          <w:rFonts w:ascii="Arial" w:hAnsi="Arial" w:cs="Arial"/>
          <w:b/>
          <w:bCs/>
          <w:sz w:val="24"/>
          <w:szCs w:val="24"/>
        </w:rPr>
        <w:t xml:space="preserve"> (2020-2023)</w:t>
      </w:r>
      <w:r w:rsidR="00D75D51" w:rsidRPr="00493A19">
        <w:rPr>
          <w:rFonts w:ascii="Arial" w:hAnsi="Arial" w:cs="Arial"/>
          <w:b/>
          <w:bCs/>
          <w:sz w:val="24"/>
          <w:szCs w:val="24"/>
        </w:rPr>
        <w:t xml:space="preserve"> avec le C</w:t>
      </w:r>
      <w:r w:rsidR="00CE391F" w:rsidRPr="00493A19">
        <w:rPr>
          <w:rFonts w:ascii="Arial" w:hAnsi="Arial" w:cs="Arial"/>
          <w:b/>
          <w:bCs/>
          <w:sz w:val="24"/>
          <w:szCs w:val="24"/>
        </w:rPr>
        <w:t>entre</w:t>
      </w:r>
      <w:r w:rsidR="00D75D51" w:rsidRPr="00493A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391F">
        <w:rPr>
          <w:rFonts w:ascii="Arial" w:hAnsi="Arial" w:cs="Arial"/>
          <w:b/>
          <w:bCs/>
          <w:sz w:val="24"/>
          <w:szCs w:val="24"/>
        </w:rPr>
        <w:t xml:space="preserve">Départemental </w:t>
      </w:r>
      <w:r w:rsidR="00D75D51" w:rsidRPr="00493A19">
        <w:rPr>
          <w:rFonts w:ascii="Arial" w:hAnsi="Arial" w:cs="Arial"/>
          <w:b/>
          <w:bCs/>
          <w:sz w:val="24"/>
          <w:szCs w:val="24"/>
        </w:rPr>
        <w:t xml:space="preserve">de </w:t>
      </w:r>
      <w:r w:rsidR="00CE391F">
        <w:rPr>
          <w:rFonts w:ascii="Arial" w:hAnsi="Arial" w:cs="Arial"/>
          <w:b/>
          <w:bCs/>
          <w:sz w:val="24"/>
          <w:szCs w:val="24"/>
        </w:rPr>
        <w:t>G</w:t>
      </w:r>
      <w:r w:rsidR="00D75D51" w:rsidRPr="00493A19">
        <w:rPr>
          <w:rFonts w:ascii="Arial" w:hAnsi="Arial" w:cs="Arial"/>
          <w:b/>
          <w:bCs/>
          <w:sz w:val="24"/>
          <w:szCs w:val="24"/>
        </w:rPr>
        <w:t>estion 44</w:t>
      </w:r>
      <w:r w:rsidRPr="00493A19">
        <w:rPr>
          <w:rFonts w:ascii="Arial" w:hAnsi="Arial" w:cs="Arial"/>
          <w:b/>
          <w:bCs/>
          <w:sz w:val="24"/>
          <w:szCs w:val="24"/>
        </w:rPr>
        <w:t>.</w:t>
      </w:r>
      <w:r w:rsidRPr="00493A19">
        <w:rPr>
          <w:rFonts w:ascii="Arial" w:hAnsi="Arial" w:cs="Arial"/>
          <w:sz w:val="24"/>
          <w:szCs w:val="24"/>
        </w:rPr>
        <w:t xml:space="preserve"> </w:t>
      </w:r>
      <w:r w:rsidR="00013867" w:rsidRPr="00493A19">
        <w:rPr>
          <w:rFonts w:ascii="Arial" w:hAnsi="Arial" w:cs="Arial"/>
          <w:sz w:val="24"/>
          <w:szCs w:val="24"/>
        </w:rPr>
        <w:t xml:space="preserve">Sur la convention précédente, le CDG 44 a utilisé presque 95% de la dotation globale, a atteint un taux d’emploi </w:t>
      </w:r>
      <w:r w:rsidRPr="00493A19">
        <w:rPr>
          <w:rFonts w:ascii="Arial" w:hAnsi="Arial" w:cs="Arial"/>
          <w:sz w:val="24"/>
          <w:szCs w:val="24"/>
        </w:rPr>
        <w:t>légal</w:t>
      </w:r>
      <w:r w:rsidR="00013867" w:rsidRPr="00493A19">
        <w:rPr>
          <w:rFonts w:ascii="Arial" w:hAnsi="Arial" w:cs="Arial"/>
          <w:sz w:val="24"/>
          <w:szCs w:val="24"/>
        </w:rPr>
        <w:t xml:space="preserve"> de </w:t>
      </w:r>
      <w:r w:rsidRPr="00493A19">
        <w:rPr>
          <w:rFonts w:ascii="Arial" w:hAnsi="Arial" w:cs="Arial"/>
          <w:sz w:val="24"/>
          <w:szCs w:val="24"/>
        </w:rPr>
        <w:t>7,51</w:t>
      </w:r>
      <w:r w:rsidR="00013867" w:rsidRPr="00493A19">
        <w:rPr>
          <w:rFonts w:ascii="Arial" w:hAnsi="Arial" w:cs="Arial"/>
          <w:sz w:val="24"/>
          <w:szCs w:val="24"/>
        </w:rPr>
        <w:t>% en 2019</w:t>
      </w:r>
      <w:r w:rsidRPr="00493A19">
        <w:rPr>
          <w:rFonts w:ascii="Arial" w:hAnsi="Arial" w:cs="Arial"/>
          <w:sz w:val="24"/>
          <w:szCs w:val="24"/>
        </w:rPr>
        <w:t xml:space="preserve"> et</w:t>
      </w:r>
      <w:r w:rsidR="00013867" w:rsidRPr="00493A19">
        <w:rPr>
          <w:rFonts w:ascii="Arial" w:hAnsi="Arial" w:cs="Arial"/>
          <w:sz w:val="24"/>
          <w:szCs w:val="24"/>
        </w:rPr>
        <w:t xml:space="preserve"> a recruté </w:t>
      </w:r>
      <w:r w:rsidRPr="00493A19">
        <w:rPr>
          <w:rFonts w:ascii="Arial" w:hAnsi="Arial" w:cs="Arial"/>
          <w:sz w:val="24"/>
          <w:szCs w:val="24"/>
        </w:rPr>
        <w:t>22</w:t>
      </w:r>
      <w:r w:rsidR="00013867" w:rsidRPr="00493A19">
        <w:rPr>
          <w:rFonts w:ascii="Arial" w:hAnsi="Arial" w:cs="Arial"/>
          <w:sz w:val="24"/>
          <w:szCs w:val="24"/>
        </w:rPr>
        <w:t xml:space="preserve"> personnes dont </w:t>
      </w:r>
      <w:r w:rsidRPr="00493A19">
        <w:rPr>
          <w:rFonts w:ascii="Arial" w:hAnsi="Arial" w:cs="Arial"/>
          <w:sz w:val="24"/>
          <w:szCs w:val="24"/>
        </w:rPr>
        <w:t>14</w:t>
      </w:r>
      <w:r w:rsidR="00013867" w:rsidRPr="00493A19">
        <w:rPr>
          <w:rFonts w:ascii="Arial" w:hAnsi="Arial" w:cs="Arial"/>
          <w:sz w:val="24"/>
          <w:szCs w:val="24"/>
        </w:rPr>
        <w:t xml:space="preserve"> apprentis.</w:t>
      </w:r>
    </w:p>
    <w:p w14:paraId="0D00C133" w14:textId="5BA8E898" w:rsidR="00013867" w:rsidRPr="00D75D51" w:rsidRDefault="00013867" w:rsidP="00013867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013867">
        <w:rPr>
          <w:rFonts w:ascii="Arial" w:hAnsi="Arial" w:cs="Arial"/>
          <w:b/>
          <w:bCs/>
          <w:sz w:val="24"/>
          <w:szCs w:val="24"/>
        </w:rPr>
        <w:t>biennal</w:t>
      </w:r>
      <w:proofErr w:type="gramEnd"/>
      <w:r w:rsidRPr="00013867">
        <w:rPr>
          <w:rFonts w:ascii="Arial" w:hAnsi="Arial" w:cs="Arial"/>
          <w:b/>
          <w:bCs/>
          <w:sz w:val="24"/>
          <w:szCs w:val="24"/>
        </w:rPr>
        <w:t xml:space="preserve"> (2021-2023) </w:t>
      </w:r>
      <w:r w:rsidR="00493A19">
        <w:rPr>
          <w:rFonts w:ascii="Arial" w:hAnsi="Arial" w:cs="Arial"/>
          <w:b/>
          <w:bCs/>
          <w:sz w:val="24"/>
          <w:szCs w:val="24"/>
        </w:rPr>
        <w:t>avec</w:t>
      </w:r>
      <w:r>
        <w:rPr>
          <w:rFonts w:ascii="Arial" w:hAnsi="Arial" w:cs="Arial"/>
          <w:b/>
          <w:bCs/>
          <w:sz w:val="24"/>
          <w:szCs w:val="24"/>
        </w:rPr>
        <w:t xml:space="preserve"> le C</w:t>
      </w:r>
      <w:r w:rsidR="00CE391F">
        <w:rPr>
          <w:rFonts w:ascii="Arial" w:hAnsi="Arial" w:cs="Arial"/>
          <w:b/>
          <w:bCs/>
          <w:sz w:val="24"/>
          <w:szCs w:val="24"/>
        </w:rPr>
        <w:t xml:space="preserve">entre 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="00CE391F">
        <w:rPr>
          <w:rFonts w:ascii="Arial" w:hAnsi="Arial" w:cs="Arial"/>
          <w:b/>
          <w:bCs/>
          <w:sz w:val="24"/>
          <w:szCs w:val="24"/>
        </w:rPr>
        <w:t>ospitalier</w:t>
      </w:r>
      <w:r>
        <w:rPr>
          <w:rFonts w:ascii="Arial" w:hAnsi="Arial" w:cs="Arial"/>
          <w:b/>
          <w:bCs/>
          <w:sz w:val="24"/>
          <w:szCs w:val="24"/>
        </w:rPr>
        <w:t xml:space="preserve"> de Saint-Nazaire</w:t>
      </w:r>
      <w:r>
        <w:rPr>
          <w:rFonts w:ascii="Arial" w:hAnsi="Arial" w:cs="Arial"/>
          <w:sz w:val="24"/>
          <w:szCs w:val="24"/>
        </w:rPr>
        <w:t>. En 2019</w:t>
      </w:r>
      <w:r w:rsidRPr="00A912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le CH de Saint-Nazaire</w:t>
      </w:r>
      <w:r w:rsidRPr="00A912FC">
        <w:rPr>
          <w:rFonts w:ascii="Arial" w:hAnsi="Arial" w:cs="Arial"/>
          <w:sz w:val="24"/>
          <w:szCs w:val="24"/>
        </w:rPr>
        <w:t xml:space="preserve"> a </w:t>
      </w:r>
      <w:r w:rsidRPr="00013867">
        <w:rPr>
          <w:rFonts w:ascii="Arial" w:hAnsi="Arial" w:cs="Arial"/>
          <w:sz w:val="24"/>
          <w:szCs w:val="24"/>
        </w:rPr>
        <w:t>atteint un taux d’emploi direct de 6,11%, a recruté 5 personnes et a repositionné 19 agents pour raison de santé. Ils ont 7,7 emplois temps plein s’occupant des BOETH.</w:t>
      </w:r>
    </w:p>
    <w:p w14:paraId="19773389" w14:textId="067037BC" w:rsidR="00013867" w:rsidRPr="00493A19" w:rsidRDefault="006F7E03" w:rsidP="00C1257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triennal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(2020-2021) </w:t>
      </w:r>
      <w:r w:rsidR="00493A19" w:rsidRPr="00493A19">
        <w:rPr>
          <w:rFonts w:ascii="Arial" w:hAnsi="Arial" w:cs="Arial"/>
          <w:b/>
          <w:bCs/>
          <w:sz w:val="24"/>
          <w:szCs w:val="24"/>
        </w:rPr>
        <w:t>avec le C</w:t>
      </w:r>
      <w:r w:rsidR="00CE391F" w:rsidRPr="00493A19">
        <w:rPr>
          <w:rFonts w:ascii="Arial" w:hAnsi="Arial" w:cs="Arial"/>
          <w:b/>
          <w:bCs/>
          <w:sz w:val="24"/>
          <w:szCs w:val="24"/>
        </w:rPr>
        <w:t>onseil</w:t>
      </w:r>
      <w:r w:rsidR="00493A19" w:rsidRPr="00493A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391F">
        <w:rPr>
          <w:rFonts w:ascii="Arial" w:hAnsi="Arial" w:cs="Arial"/>
          <w:b/>
          <w:bCs/>
          <w:sz w:val="24"/>
          <w:szCs w:val="24"/>
        </w:rPr>
        <w:t>D</w:t>
      </w:r>
      <w:r w:rsidR="00493A19" w:rsidRPr="00493A19">
        <w:rPr>
          <w:rFonts w:ascii="Arial" w:hAnsi="Arial" w:cs="Arial"/>
          <w:b/>
          <w:bCs/>
          <w:sz w:val="24"/>
          <w:szCs w:val="24"/>
        </w:rPr>
        <w:t>épartemental 44</w:t>
      </w:r>
      <w:r w:rsidR="00493A19">
        <w:rPr>
          <w:rFonts w:ascii="Arial" w:hAnsi="Arial" w:cs="Arial"/>
          <w:b/>
          <w:bCs/>
          <w:sz w:val="24"/>
          <w:szCs w:val="24"/>
        </w:rPr>
        <w:t xml:space="preserve">. </w:t>
      </w:r>
      <w:r w:rsidR="00493A19" w:rsidRPr="00A912FC">
        <w:rPr>
          <w:rFonts w:ascii="Arial" w:hAnsi="Arial" w:cs="Arial"/>
          <w:sz w:val="24"/>
          <w:szCs w:val="24"/>
        </w:rPr>
        <w:t xml:space="preserve">Sur la convention précédente, </w:t>
      </w:r>
      <w:r w:rsidR="00493A19">
        <w:rPr>
          <w:rFonts w:ascii="Arial" w:hAnsi="Arial" w:cs="Arial"/>
          <w:sz w:val="24"/>
          <w:szCs w:val="24"/>
        </w:rPr>
        <w:t>le CD 44</w:t>
      </w:r>
      <w:r w:rsidR="00493A19" w:rsidRPr="00A912FC">
        <w:rPr>
          <w:rFonts w:ascii="Arial" w:hAnsi="Arial" w:cs="Arial"/>
          <w:sz w:val="24"/>
          <w:szCs w:val="24"/>
        </w:rPr>
        <w:t xml:space="preserve"> a atteint un taux d’emploi </w:t>
      </w:r>
      <w:r w:rsidR="00493A19">
        <w:rPr>
          <w:rFonts w:ascii="Arial" w:hAnsi="Arial" w:cs="Arial"/>
          <w:sz w:val="24"/>
          <w:szCs w:val="24"/>
        </w:rPr>
        <w:t>légal</w:t>
      </w:r>
      <w:r w:rsidR="00493A19" w:rsidRPr="00A912FC">
        <w:rPr>
          <w:rFonts w:ascii="Arial" w:hAnsi="Arial" w:cs="Arial"/>
          <w:sz w:val="24"/>
          <w:szCs w:val="24"/>
        </w:rPr>
        <w:t xml:space="preserve"> de </w:t>
      </w:r>
      <w:r w:rsidR="00493A19">
        <w:rPr>
          <w:rFonts w:ascii="Arial" w:hAnsi="Arial" w:cs="Arial"/>
          <w:sz w:val="24"/>
          <w:szCs w:val="24"/>
        </w:rPr>
        <w:t>9,38</w:t>
      </w:r>
      <w:r w:rsidR="00493A19" w:rsidRPr="00A912FC">
        <w:rPr>
          <w:rFonts w:ascii="Arial" w:hAnsi="Arial" w:cs="Arial"/>
          <w:sz w:val="24"/>
          <w:szCs w:val="24"/>
        </w:rPr>
        <w:t xml:space="preserve">% en 2019, a recruté </w:t>
      </w:r>
      <w:r w:rsidR="00493A19">
        <w:rPr>
          <w:rFonts w:ascii="Arial" w:hAnsi="Arial" w:cs="Arial"/>
          <w:sz w:val="24"/>
          <w:szCs w:val="24"/>
        </w:rPr>
        <w:t>18</w:t>
      </w:r>
      <w:r w:rsidR="00493A19" w:rsidRPr="00A912FC">
        <w:rPr>
          <w:rFonts w:ascii="Arial" w:hAnsi="Arial" w:cs="Arial"/>
          <w:sz w:val="24"/>
          <w:szCs w:val="24"/>
        </w:rPr>
        <w:t xml:space="preserve"> personnes </w:t>
      </w:r>
      <w:r>
        <w:rPr>
          <w:rFonts w:ascii="Arial" w:hAnsi="Arial" w:cs="Arial"/>
          <w:sz w:val="24"/>
          <w:szCs w:val="24"/>
        </w:rPr>
        <w:t>et</w:t>
      </w:r>
      <w:r w:rsidR="00493A19" w:rsidRPr="00A91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="00493A19" w:rsidRPr="00A912FC">
        <w:rPr>
          <w:rFonts w:ascii="Arial" w:hAnsi="Arial" w:cs="Arial"/>
          <w:sz w:val="24"/>
          <w:szCs w:val="24"/>
        </w:rPr>
        <w:t xml:space="preserve"> apprentis et a </w:t>
      </w:r>
      <w:r>
        <w:rPr>
          <w:rFonts w:ascii="Arial" w:hAnsi="Arial" w:cs="Arial"/>
          <w:sz w:val="24"/>
          <w:szCs w:val="24"/>
        </w:rPr>
        <w:t xml:space="preserve">titularisé 10 agents. </w:t>
      </w:r>
      <w:r w:rsidR="00493A19" w:rsidRPr="00A912FC">
        <w:rPr>
          <w:rFonts w:ascii="Arial" w:hAnsi="Arial" w:cs="Arial"/>
          <w:sz w:val="24"/>
          <w:szCs w:val="24"/>
        </w:rPr>
        <w:t xml:space="preserve">Ils ont </w:t>
      </w:r>
      <w:r w:rsidR="00493A19">
        <w:rPr>
          <w:rFonts w:ascii="Arial" w:hAnsi="Arial" w:cs="Arial"/>
          <w:sz w:val="24"/>
          <w:szCs w:val="24"/>
        </w:rPr>
        <w:t>8 agents</w:t>
      </w:r>
      <w:r w:rsidR="00493A19" w:rsidRPr="00A912FC">
        <w:rPr>
          <w:rFonts w:ascii="Arial" w:hAnsi="Arial" w:cs="Arial"/>
          <w:sz w:val="24"/>
          <w:szCs w:val="24"/>
        </w:rPr>
        <w:t xml:space="preserve"> s’occupant des BOETH.</w:t>
      </w:r>
    </w:p>
    <w:p w14:paraId="2EC763B7" w14:textId="77777777" w:rsidR="00C1257E" w:rsidRPr="00D8183D" w:rsidRDefault="00C1257E" w:rsidP="00C1257E">
      <w:pPr>
        <w:spacing w:after="0" w:line="276" w:lineRule="auto"/>
        <w:jc w:val="both"/>
        <w:rPr>
          <w:rFonts w:ascii="Arial" w:hAnsi="Arial" w:cs="Arial"/>
          <w:sz w:val="40"/>
          <w:szCs w:val="40"/>
        </w:rPr>
      </w:pPr>
    </w:p>
    <w:p w14:paraId="09067C42" w14:textId="1AB97B41" w:rsidR="001C5C11" w:rsidRPr="00046632" w:rsidRDefault="00046632" w:rsidP="00C1257E">
      <w:pPr>
        <w:shd w:val="clear" w:color="auto" w:fill="00FF99"/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46632">
        <w:rPr>
          <w:rFonts w:ascii="Arial" w:hAnsi="Arial" w:cs="Arial"/>
          <w:b/>
          <w:bCs/>
          <w:sz w:val="40"/>
          <w:szCs w:val="40"/>
        </w:rPr>
        <w:t xml:space="preserve">Actualités </w:t>
      </w:r>
    </w:p>
    <w:p w14:paraId="3D801E57" w14:textId="758E8994" w:rsidR="00432170" w:rsidRDefault="00432170" w:rsidP="004321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Ce qui change sur la période concernant le handicap dans la fonction publique 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3639D2" w14:textId="7840FB48" w:rsidR="00432170" w:rsidRDefault="00432170" w:rsidP="00C1257E">
      <w:pPr>
        <w:pStyle w:val="Standard"/>
        <w:spacing w:after="0" w:line="276" w:lineRule="auto"/>
        <w:jc w:val="both"/>
        <w:rPr>
          <w:rFonts w:ascii="Arial" w:hAnsi="Arial" w:cs="Arial"/>
          <w:sz w:val="24"/>
        </w:rPr>
      </w:pPr>
    </w:p>
    <w:p w14:paraId="49CC210D" w14:textId="6E9BDC3E" w:rsidR="00CE7017" w:rsidRDefault="000A300C" w:rsidP="006811F7">
      <w:pPr>
        <w:pStyle w:val="Standard"/>
        <w:spacing w:after="0" w:line="276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0A300C">
        <w:rPr>
          <w:rFonts w:ascii="Arial" w:hAnsi="Arial" w:cs="Arial"/>
          <w:b/>
          <w:bCs/>
          <w:sz w:val="24"/>
        </w:rPr>
        <w:t>Ce semestre</w:t>
      </w:r>
      <w:r>
        <w:rPr>
          <w:rFonts w:ascii="Arial" w:hAnsi="Arial" w:cs="Arial"/>
          <w:sz w:val="24"/>
        </w:rPr>
        <w:t>, m</w:t>
      </w:r>
      <w:r w:rsidR="006811F7">
        <w:rPr>
          <w:rFonts w:ascii="Arial" w:hAnsi="Arial" w:cs="Arial"/>
          <w:sz w:val="24"/>
        </w:rPr>
        <w:t xml:space="preserve">algré une motion de soutien du FIPHFP, </w:t>
      </w:r>
      <w:r w:rsidR="00CE7017" w:rsidRPr="006811F7">
        <w:rPr>
          <w:rFonts w:ascii="Arial" w:hAnsi="Arial" w:cs="Arial"/>
          <w:b/>
          <w:bCs/>
          <w:sz w:val="24"/>
        </w:rPr>
        <w:t>l’</w:t>
      </w:r>
      <w:r w:rsidR="00CE7017" w:rsidRPr="006811F7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 xml:space="preserve">Observatoire national de la sécurité et de l’accessibilité des établissements de l’enseignement a été </w:t>
      </w:r>
      <w:r w:rsidR="006811F7" w:rsidRPr="006811F7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>supprimé</w:t>
      </w:r>
      <w:r w:rsidR="00CE7017" w:rsidRPr="009F2B0E">
        <w:rPr>
          <w:rFonts w:ascii="Arial" w:hAnsi="Arial" w:cs="Arial"/>
          <w:color w:val="222222"/>
          <w:sz w:val="24"/>
          <w:shd w:val="clear" w:color="auto" w:fill="FFFFFF"/>
        </w:rPr>
        <w:t xml:space="preserve">. </w:t>
      </w:r>
      <w:r w:rsidR="006811F7">
        <w:rPr>
          <w:rFonts w:ascii="Arial" w:hAnsi="Arial" w:cs="Arial"/>
          <w:color w:val="222222"/>
          <w:sz w:val="24"/>
          <w:shd w:val="clear" w:color="auto" w:fill="FFFFFF"/>
        </w:rPr>
        <w:t>Il devrait être</w:t>
      </w:r>
      <w:r w:rsidR="00CE7017">
        <w:rPr>
          <w:rFonts w:ascii="Arial" w:hAnsi="Arial" w:cs="Arial"/>
          <w:color w:val="222222"/>
          <w:sz w:val="24"/>
          <w:shd w:val="clear" w:color="auto" w:fill="FFFFFF"/>
        </w:rPr>
        <w:t xml:space="preserve"> remplacé par un service du bâti au ministère de l’EN. Outre le problème d’indépendance de ce service (contrairement à l’Observatoire), celui-ci ne s’intéresserait plus à certaines problématiques comme l’accessibilité numérique.</w:t>
      </w:r>
    </w:p>
    <w:p w14:paraId="0A50BA37" w14:textId="4EA2123F" w:rsidR="006811F7" w:rsidRDefault="006811F7" w:rsidP="006811F7">
      <w:pPr>
        <w:pStyle w:val="Standard"/>
        <w:spacing w:after="0" w:line="276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14:paraId="22A09A4F" w14:textId="54293438" w:rsidR="001A377A" w:rsidRDefault="001A377A" w:rsidP="006811F7">
      <w:pPr>
        <w:pStyle w:val="Standard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hd w:val="clear" w:color="auto" w:fill="FFFFFF"/>
        </w:rPr>
        <w:t xml:space="preserve">Le 14 septembre 2020, </w:t>
      </w:r>
      <w:r w:rsidRPr="001A377A">
        <w:rPr>
          <w:rFonts w:ascii="Arial" w:hAnsi="Arial" w:cs="Arial"/>
          <w:color w:val="222222"/>
          <w:sz w:val="24"/>
          <w:shd w:val="clear" w:color="auto" w:fill="FFFFFF"/>
        </w:rPr>
        <w:t xml:space="preserve">Laurent </w:t>
      </w:r>
      <w:proofErr w:type="spellStart"/>
      <w:r w:rsidRPr="001A377A">
        <w:rPr>
          <w:rFonts w:ascii="Arial" w:hAnsi="Arial" w:cs="Arial"/>
          <w:color w:val="222222"/>
          <w:sz w:val="24"/>
          <w:shd w:val="clear" w:color="auto" w:fill="FFFFFF"/>
        </w:rPr>
        <w:t>Vachet</w:t>
      </w:r>
      <w:proofErr w:type="spellEnd"/>
      <w:r w:rsidRPr="001A377A">
        <w:rPr>
          <w:rFonts w:ascii="Arial" w:hAnsi="Arial" w:cs="Arial"/>
          <w:color w:val="222222"/>
          <w:sz w:val="24"/>
          <w:shd w:val="clear" w:color="auto" w:fill="FFFFFF"/>
        </w:rPr>
        <w:t xml:space="preserve"> a remis son</w:t>
      </w:r>
      <w:r>
        <w:rPr>
          <w:rFonts w:ascii="Arial" w:hAnsi="Arial" w:cs="Arial"/>
          <w:b/>
          <w:bCs/>
          <w:color w:val="222222"/>
          <w:sz w:val="24"/>
          <w:shd w:val="clear" w:color="auto" w:fill="FFFFFF"/>
        </w:rPr>
        <w:t xml:space="preserve"> </w:t>
      </w:r>
      <w:hyperlink r:id="rId13" w:history="1">
        <w:r w:rsidRPr="001A377A">
          <w:rPr>
            <w:rStyle w:val="Lienhypertexte"/>
            <w:rFonts w:ascii="Arial" w:hAnsi="Arial" w:cs="Arial"/>
            <w:b/>
            <w:bCs/>
            <w:sz w:val="24"/>
            <w:shd w:val="clear" w:color="auto" w:fill="FFFFFF"/>
          </w:rPr>
          <w:t>rapport sur le financement de la 5</w:t>
        </w:r>
        <w:r w:rsidRPr="001A377A">
          <w:rPr>
            <w:rStyle w:val="Lienhypertexte"/>
            <w:rFonts w:ascii="Arial" w:hAnsi="Arial" w:cs="Arial"/>
            <w:b/>
            <w:bCs/>
            <w:sz w:val="24"/>
            <w:shd w:val="clear" w:color="auto" w:fill="FFFFFF"/>
            <w:vertAlign w:val="superscript"/>
          </w:rPr>
          <w:t>e</w:t>
        </w:r>
        <w:r w:rsidRPr="001A377A">
          <w:rPr>
            <w:rStyle w:val="Lienhypertexte"/>
            <w:rFonts w:ascii="Arial" w:hAnsi="Arial" w:cs="Arial"/>
            <w:b/>
            <w:bCs/>
            <w:sz w:val="24"/>
            <w:shd w:val="clear" w:color="auto" w:fill="FFFFFF"/>
          </w:rPr>
          <w:t xml:space="preserve"> branche</w:t>
        </w:r>
      </w:hyperlink>
      <w:r w:rsidR="00410E1A">
        <w:rPr>
          <w:rFonts w:ascii="Arial" w:hAnsi="Arial" w:cs="Arial"/>
          <w:color w:val="222222"/>
          <w:sz w:val="24"/>
          <w:shd w:val="clear" w:color="auto" w:fill="FFFFFF"/>
        </w:rPr>
        <w:t xml:space="preserve"> afin de couvrir les dépenses relatives à l’autonomie qui pourraient atteindre 5 milliards d’euros en 2024.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Outre le financement actuel de la CNSA</w:t>
      </w:r>
      <w:r w:rsidR="00CE391F">
        <w:rPr>
          <w:rFonts w:ascii="Arial" w:hAnsi="Arial" w:cs="Arial"/>
          <w:color w:val="222222"/>
          <w:sz w:val="24"/>
          <w:shd w:val="clear" w:color="auto" w:fill="FFFFFF"/>
        </w:rPr>
        <w:t xml:space="preserve"> (Caisse Nationale de Solidarité pour l’Autonomie)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, des sources financières </w:t>
      </w:r>
      <w:r w:rsidR="00410E1A">
        <w:rPr>
          <w:rFonts w:ascii="Arial" w:hAnsi="Arial" w:cs="Arial"/>
          <w:color w:val="222222"/>
          <w:sz w:val="24"/>
          <w:shd w:val="clear" w:color="auto" w:fill="FFFFFF"/>
        </w:rPr>
        <w:t>sont proposées telles que le transfert de fonds de réserve des retraites, des économies sur l’AAH</w:t>
      </w:r>
      <w:r w:rsidR="00CE391F">
        <w:rPr>
          <w:rFonts w:ascii="Arial" w:hAnsi="Arial" w:cs="Arial"/>
          <w:color w:val="222222"/>
          <w:sz w:val="24"/>
          <w:shd w:val="clear" w:color="auto" w:fill="FFFFFF"/>
        </w:rPr>
        <w:t xml:space="preserve"> (Allocation Adulte Handicapé)</w:t>
      </w:r>
      <w:r w:rsidR="00410E1A">
        <w:rPr>
          <w:rFonts w:ascii="Arial" w:hAnsi="Arial" w:cs="Arial"/>
          <w:color w:val="222222"/>
          <w:sz w:val="24"/>
          <w:shd w:val="clear" w:color="auto" w:fill="FFFFFF"/>
        </w:rPr>
        <w:t xml:space="preserve">, le recours à des prélèvements obligatoires…  </w:t>
      </w:r>
      <w:r>
        <w:rPr>
          <w:rFonts w:ascii="Arial" w:hAnsi="Arial" w:cs="Arial"/>
          <w:b/>
          <w:bCs/>
          <w:color w:val="222222"/>
          <w:sz w:val="24"/>
          <w:shd w:val="clear" w:color="auto" w:fill="FFFFFF"/>
        </w:rPr>
        <w:t xml:space="preserve"> </w:t>
      </w:r>
    </w:p>
    <w:p w14:paraId="2670A1DB" w14:textId="77777777" w:rsidR="001A377A" w:rsidRDefault="001A377A" w:rsidP="006811F7">
      <w:pPr>
        <w:pStyle w:val="Standard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hd w:val="clear" w:color="auto" w:fill="FFFFFF"/>
        </w:rPr>
      </w:pPr>
    </w:p>
    <w:p w14:paraId="24389B2E" w14:textId="0BF6F690" w:rsidR="00EA2E11" w:rsidRDefault="006811F7" w:rsidP="006811F7">
      <w:pPr>
        <w:pStyle w:val="Standard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597DE7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>Le 22 septembre 2020,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hyperlink r:id="rId14" w:history="1">
        <w:r w:rsidRPr="006811F7">
          <w:rPr>
            <w:rStyle w:val="Lienhypertexte"/>
            <w:rFonts w:ascii="Arial" w:hAnsi="Arial" w:cs="Arial"/>
            <w:b/>
            <w:bCs/>
            <w:sz w:val="24"/>
            <w:shd w:val="clear" w:color="auto" w:fill="FFFFFF"/>
          </w:rPr>
          <w:t>les résultats 2019 du FIPHFP</w:t>
        </w:r>
      </w:hyperlink>
      <w:r>
        <w:rPr>
          <w:rFonts w:ascii="Arial" w:hAnsi="Arial" w:cs="Arial"/>
          <w:color w:val="222222"/>
          <w:sz w:val="24"/>
          <w:shd w:val="clear" w:color="auto" w:fill="FFFFFF"/>
        </w:rPr>
        <w:t xml:space="preserve"> ont ét</w:t>
      </w:r>
      <w:r w:rsidR="00CE391F">
        <w:rPr>
          <w:rFonts w:ascii="Arial" w:hAnsi="Arial" w:cs="Arial"/>
          <w:color w:val="222222"/>
          <w:sz w:val="24"/>
          <w:shd w:val="clear" w:color="auto" w:fill="FFFFFF"/>
        </w:rPr>
        <w:t>é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présentés. Le taux d’emploi légal s’élève à 5,83% : un chiffre en progression constante. Il y a 261 319 BOETH dans la </w:t>
      </w:r>
      <w:r>
        <w:rPr>
          <w:rFonts w:ascii="Arial" w:hAnsi="Arial" w:cs="Arial"/>
          <w:color w:val="222222"/>
          <w:sz w:val="24"/>
          <w:shd w:val="clear" w:color="auto" w:fill="FFFFFF"/>
        </w:rPr>
        <w:lastRenderedPageBreak/>
        <w:t>FP.</w:t>
      </w:r>
      <w:r w:rsidR="00CB6118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="00CB6118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CB6118" w:rsidRPr="00CB61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montant total des dépenses d’interventions du Fonds pour accompagner les </w:t>
      </w:r>
      <w:r w:rsidR="00CB6118" w:rsidRPr="00981345">
        <w:rPr>
          <w:rFonts w:ascii="Arial" w:hAnsi="Arial" w:cs="Arial"/>
          <w:color w:val="000000"/>
          <w:sz w:val="24"/>
          <w:szCs w:val="24"/>
          <w:shd w:val="clear" w:color="auto" w:fill="FFFFFF"/>
        </w:rPr>
        <w:t>employeurs en 2019 se sont élevés à </w:t>
      </w:r>
      <w:r w:rsidR="00CB6118" w:rsidRPr="00981345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107,08 </w:t>
      </w:r>
      <w:r w:rsidR="00CE391F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M€</w:t>
      </w:r>
      <w:r w:rsidR="00981345" w:rsidRPr="00981345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 C’est la 1</w:t>
      </w:r>
      <w:r w:rsidR="00981345" w:rsidRPr="00981345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e</w:t>
      </w:r>
      <w:r w:rsidR="00981345" w:rsidRPr="00981345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année que</w:t>
      </w:r>
      <w:r w:rsidR="00981345" w:rsidRPr="00981345">
        <w:rPr>
          <w:rFonts w:ascii="Arial" w:hAnsi="Arial" w:cs="Arial"/>
          <w:color w:val="222222"/>
          <w:sz w:val="24"/>
          <w:szCs w:val="24"/>
        </w:rPr>
        <w:t xml:space="preserve"> les dépenses sont inférieures aux contributions des employeurs.</w:t>
      </w:r>
    </w:p>
    <w:p w14:paraId="301741C9" w14:textId="074389CD" w:rsidR="00D9315F" w:rsidRDefault="00D9315F" w:rsidP="006811F7">
      <w:pPr>
        <w:pStyle w:val="Standard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50A1F6A" w14:textId="6651BE08" w:rsidR="00D9315F" w:rsidRDefault="00D9315F" w:rsidP="006811F7">
      <w:pPr>
        <w:pStyle w:val="Standard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D9315F">
        <w:rPr>
          <w:rFonts w:ascii="Arial" w:hAnsi="Arial" w:cs="Arial"/>
          <w:b/>
          <w:bCs/>
          <w:color w:val="222222"/>
          <w:sz w:val="24"/>
          <w:szCs w:val="24"/>
        </w:rPr>
        <w:t>Le 4 novembre 2020</w:t>
      </w:r>
      <w:r>
        <w:rPr>
          <w:rFonts w:ascii="Arial" w:hAnsi="Arial" w:cs="Arial"/>
          <w:color w:val="222222"/>
          <w:sz w:val="24"/>
          <w:szCs w:val="24"/>
        </w:rPr>
        <w:t xml:space="preserve">, s’est tenue </w:t>
      </w:r>
      <w:hyperlink r:id="rId15" w:history="1">
        <w:r w:rsidRPr="00D9315F">
          <w:rPr>
            <w:rStyle w:val="Lienhypertexte"/>
            <w:rFonts w:ascii="Arial" w:hAnsi="Arial" w:cs="Arial"/>
            <w:sz w:val="24"/>
            <w:szCs w:val="24"/>
          </w:rPr>
          <w:t>une conférence de presse</w:t>
        </w:r>
      </w:hyperlink>
      <w:r>
        <w:rPr>
          <w:rFonts w:ascii="Arial" w:hAnsi="Arial" w:cs="Arial"/>
          <w:color w:val="222222"/>
          <w:sz w:val="24"/>
          <w:szCs w:val="24"/>
        </w:rPr>
        <w:t xml:space="preserve"> concernant </w:t>
      </w:r>
      <w:r w:rsidRPr="00D9315F">
        <w:rPr>
          <w:rFonts w:ascii="Arial" w:hAnsi="Arial" w:cs="Arial"/>
          <w:b/>
          <w:bCs/>
          <w:color w:val="222222"/>
          <w:sz w:val="24"/>
          <w:szCs w:val="24"/>
        </w:rPr>
        <w:t xml:space="preserve">la Semaine Européenne de l’Emploi des Personnes Handicapées (SEEPH) </w:t>
      </w:r>
      <w:r w:rsidR="000A300C">
        <w:rPr>
          <w:rFonts w:ascii="Arial" w:hAnsi="Arial" w:cs="Arial"/>
          <w:color w:val="222222"/>
          <w:sz w:val="24"/>
          <w:szCs w:val="24"/>
        </w:rPr>
        <w:t>(</w:t>
      </w:r>
      <w:r w:rsidRPr="00D9315F">
        <w:rPr>
          <w:rFonts w:ascii="Arial" w:hAnsi="Arial" w:cs="Arial"/>
          <w:color w:val="222222"/>
          <w:sz w:val="24"/>
          <w:szCs w:val="24"/>
        </w:rPr>
        <w:t>préserver et développer l’emploi des personnes handicapées</w:t>
      </w:r>
      <w:r w:rsidR="000A300C">
        <w:rPr>
          <w:rFonts w:ascii="Arial" w:hAnsi="Arial" w:cs="Arial"/>
          <w:color w:val="222222"/>
          <w:sz w:val="24"/>
          <w:szCs w:val="24"/>
        </w:rPr>
        <w:t>)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D9315F">
        <w:rPr>
          <w:rFonts w:ascii="Arial" w:hAnsi="Arial" w:cs="Arial"/>
          <w:b/>
          <w:bCs/>
          <w:color w:val="222222"/>
          <w:sz w:val="24"/>
          <w:szCs w:val="24"/>
        </w:rPr>
        <w:t xml:space="preserve">et le </w:t>
      </w:r>
      <w:proofErr w:type="spellStart"/>
      <w:r w:rsidRPr="00D9315F">
        <w:rPr>
          <w:rFonts w:ascii="Arial" w:hAnsi="Arial" w:cs="Arial"/>
          <w:b/>
          <w:bCs/>
          <w:color w:val="222222"/>
          <w:sz w:val="24"/>
          <w:szCs w:val="24"/>
        </w:rPr>
        <w:t>Duoday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0A300C">
        <w:rPr>
          <w:rFonts w:ascii="Arial" w:hAnsi="Arial" w:cs="Arial"/>
          <w:color w:val="222222"/>
          <w:sz w:val="24"/>
          <w:szCs w:val="24"/>
        </w:rPr>
        <w:t>(qui s’adapte cette année à la crise sanitaire)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30BDF953" w14:textId="77777777" w:rsidR="00D9315F" w:rsidRDefault="00D9315F" w:rsidP="00D931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5B2F020D" w14:textId="7E6C2F0F" w:rsidR="00D9315F" w:rsidRDefault="00D9315F" w:rsidP="00D931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9315F">
        <w:rPr>
          <w:rFonts w:ascii="Arial" w:hAnsi="Arial" w:cs="Arial"/>
          <w:b/>
          <w:bCs/>
          <w:color w:val="222222"/>
        </w:rPr>
        <w:t>Le 14 novembre 2020</w:t>
      </w:r>
      <w:r>
        <w:rPr>
          <w:rFonts w:ascii="Arial" w:hAnsi="Arial" w:cs="Arial"/>
          <w:color w:val="222222"/>
        </w:rPr>
        <w:t xml:space="preserve">, le gouvernement a mis en ligne sa </w:t>
      </w:r>
      <w:hyperlink r:id="rId16" w:history="1">
        <w:r w:rsidRPr="00D9315F">
          <w:rPr>
            <w:rStyle w:val="Lienhypertexte"/>
            <w:rFonts w:ascii="Arial" w:hAnsi="Arial" w:cs="Arial"/>
            <w:b/>
            <w:bCs/>
          </w:rPr>
          <w:t>FAQ spéciale reprise de l’épidémie COVID</w:t>
        </w:r>
      </w:hyperlink>
      <w:r>
        <w:rPr>
          <w:rFonts w:ascii="Arial" w:hAnsi="Arial" w:cs="Arial"/>
          <w:color w:val="222222"/>
        </w:rPr>
        <w:t xml:space="preserve">. Vous y trouverez des réponses concernant la formation, les déplacements, l’accès au soin, les proches aidants… </w:t>
      </w:r>
    </w:p>
    <w:p w14:paraId="17565919" w14:textId="66A4D74A" w:rsidR="006639CD" w:rsidRDefault="006639CD" w:rsidP="00D931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5CE42F76" w14:textId="32AAFA4E" w:rsidR="006639CD" w:rsidRDefault="006639CD" w:rsidP="00D931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B5D66">
        <w:rPr>
          <w:rFonts w:ascii="Arial" w:hAnsi="Arial" w:cs="Arial"/>
          <w:b/>
          <w:bCs/>
          <w:color w:val="222222"/>
        </w:rPr>
        <w:t>Le 16 novembre 2020</w:t>
      </w:r>
      <w:r>
        <w:rPr>
          <w:rFonts w:ascii="Arial" w:hAnsi="Arial" w:cs="Arial"/>
          <w:color w:val="222222"/>
        </w:rPr>
        <w:t>, à l’occasion du Comité Interministériel du Handicap (CIH)</w:t>
      </w:r>
      <w:r w:rsidR="009B5D66">
        <w:rPr>
          <w:rFonts w:ascii="Arial" w:hAnsi="Arial" w:cs="Arial"/>
          <w:color w:val="222222"/>
        </w:rPr>
        <w:t xml:space="preserve">, le gouvernement a présenté le </w:t>
      </w:r>
      <w:r w:rsidR="009B5D66" w:rsidRPr="009B5D66">
        <w:rPr>
          <w:rFonts w:ascii="Arial" w:hAnsi="Arial" w:cs="Arial"/>
          <w:b/>
          <w:bCs/>
          <w:color w:val="222222"/>
        </w:rPr>
        <w:t>bilan des engagements 2019-2020</w:t>
      </w:r>
      <w:r w:rsidR="009B5D66">
        <w:rPr>
          <w:rFonts w:ascii="Arial" w:hAnsi="Arial" w:cs="Arial"/>
          <w:color w:val="222222"/>
        </w:rPr>
        <w:t xml:space="preserve">. Le secteur handicap de la Confédération FO a établi </w:t>
      </w:r>
      <w:hyperlink r:id="rId17" w:history="1">
        <w:r w:rsidR="009B5D66" w:rsidRPr="009B5D66">
          <w:rPr>
            <w:rStyle w:val="Lienhypertexte"/>
            <w:rFonts w:ascii="Arial" w:hAnsi="Arial" w:cs="Arial"/>
            <w:b/>
            <w:bCs/>
          </w:rPr>
          <w:t>une synthèse</w:t>
        </w:r>
        <w:r w:rsidR="009B5D66" w:rsidRPr="009B5D66">
          <w:rPr>
            <w:rStyle w:val="Lienhypertexte"/>
            <w:rFonts w:ascii="Arial" w:hAnsi="Arial" w:cs="Arial"/>
          </w:rPr>
          <w:t xml:space="preserve"> de quelques mesures</w:t>
        </w:r>
      </w:hyperlink>
      <w:r w:rsidR="009B5D6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5F8837D0" w14:textId="07D22259" w:rsidR="000A300C" w:rsidRDefault="000A300C" w:rsidP="00D931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68447EB4" w14:textId="1DC4032B" w:rsidR="000A300C" w:rsidRPr="000A300C" w:rsidRDefault="000A300C" w:rsidP="000A300C">
      <w:pPr>
        <w:pStyle w:val="NormalWeb"/>
        <w:spacing w:before="0" w:beforeAutospacing="0" w:after="0" w:afterAutospacing="0"/>
        <w:jc w:val="both"/>
      </w:pPr>
      <w:r w:rsidRPr="000A300C">
        <w:rPr>
          <w:rFonts w:ascii="Arial" w:hAnsi="Arial" w:cs="Arial"/>
          <w:b/>
          <w:bCs/>
        </w:rPr>
        <w:t>Le 17 novembre 2020</w:t>
      </w:r>
      <w:r w:rsidR="001A377A" w:rsidRPr="001A37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377A">
        <w:rPr>
          <w:rFonts w:ascii="Arial" w:hAnsi="Arial" w:cs="Arial"/>
        </w:rPr>
        <w:t>a été</w:t>
      </w:r>
      <w:r>
        <w:rPr>
          <w:rFonts w:ascii="Arial" w:hAnsi="Arial" w:cs="Arial"/>
        </w:rPr>
        <w:t xml:space="preserve"> publiée la </w:t>
      </w:r>
      <w:hyperlink r:id="rId18" w:history="1">
        <w:r w:rsidRPr="000A300C">
          <w:rPr>
            <w:rStyle w:val="Lienhypertexte"/>
            <w:rFonts w:ascii="Arial" w:hAnsi="Arial" w:cs="Arial"/>
            <w:b/>
            <w:bCs/>
            <w:i/>
            <w:iCs/>
          </w:rPr>
          <w:t>Circulaire du Premier ministre n° 6227-SG relative à la mobilisation interministérielle pour un État plus inclusif</w:t>
        </w:r>
      </w:hyperlink>
      <w:r>
        <w:rPr>
          <w:rFonts w:ascii="Arial" w:hAnsi="Arial" w:cs="Arial"/>
        </w:rPr>
        <w:t>. Elle se fixe pour objectifs : de renforcer le rôle des hauts fonctionnaires, d’améliorer l’accessibilité de la communication, d’augmenter le taux d’emploi des travailleurs handicapés dans l’apprentissage…</w:t>
      </w:r>
    </w:p>
    <w:p w14:paraId="4206BDC7" w14:textId="17AB6206" w:rsidR="00597DE7" w:rsidRDefault="00597DE7" w:rsidP="00597DE7">
      <w:pPr>
        <w:pStyle w:val="Standard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013178B" w14:textId="066FDC67" w:rsidR="00597DE7" w:rsidRDefault="00597DE7" w:rsidP="00597DE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97DE7">
        <w:rPr>
          <w:rFonts w:ascii="Arial" w:hAnsi="Arial" w:cs="Arial"/>
          <w:b/>
          <w:bCs/>
          <w:color w:val="222222"/>
        </w:rPr>
        <w:t>Le 28 novembre 2020</w:t>
      </w:r>
      <w:r w:rsidRPr="001A377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="001A377A">
        <w:rPr>
          <w:rFonts w:ascii="Arial" w:hAnsi="Arial" w:cs="Arial"/>
          <w:color w:val="222222"/>
        </w:rPr>
        <w:t>est paru</w:t>
      </w:r>
      <w:r>
        <w:rPr>
          <w:rFonts w:ascii="Arial" w:hAnsi="Arial" w:cs="Arial"/>
          <w:color w:val="222222"/>
        </w:rPr>
        <w:t xml:space="preserve"> sur </w:t>
      </w:r>
      <w:proofErr w:type="spellStart"/>
      <w:r>
        <w:rPr>
          <w:rFonts w:ascii="Arial" w:hAnsi="Arial" w:cs="Arial"/>
          <w:color w:val="222222"/>
        </w:rPr>
        <w:t>legifrance</w:t>
      </w:r>
      <w:proofErr w:type="spellEnd"/>
      <w:r>
        <w:rPr>
          <w:rFonts w:ascii="Arial" w:hAnsi="Arial" w:cs="Arial"/>
          <w:color w:val="222222"/>
        </w:rPr>
        <w:t xml:space="preserve">, la </w:t>
      </w:r>
      <w:hyperlink r:id="rId19" w:anchor="circ" w:history="1">
        <w:r w:rsidRPr="00597DE7">
          <w:rPr>
            <w:rStyle w:val="Lienhypertexte"/>
            <w:rFonts w:ascii="Arial" w:hAnsi="Arial" w:cs="Arial"/>
            <w:b/>
            <w:bCs/>
            <w:i/>
            <w:iCs/>
          </w:rPr>
          <w:t>Circulaire relative à la mise en œuvre des obligations et engagements du Gouvernement en matière d’accessibilité aux personnes en situation de handicap des sites internet, extranet, intranet et applications mobiles publics</w:t>
        </w:r>
      </w:hyperlink>
      <w:r w:rsidRPr="00597D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 document opposable donne des indications aux administrations afin d’atteindre l’objectif de rendre accessible 80% des 250 démarches administratives en ligne ainsi que les 15 sites gouvernementaux les plus fréquentés.</w:t>
      </w:r>
    </w:p>
    <w:p w14:paraId="726C7A4A" w14:textId="4445BEDD" w:rsidR="000A300C" w:rsidRDefault="000A300C" w:rsidP="00597DE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8D18A3D" w14:textId="6451459F" w:rsidR="000A300C" w:rsidRDefault="000A300C" w:rsidP="00597D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1A377A">
        <w:rPr>
          <w:rFonts w:ascii="Arial" w:hAnsi="Arial" w:cs="Arial"/>
          <w:b/>
          <w:bCs/>
        </w:rPr>
        <w:t>Le 8 décembre 2020</w:t>
      </w:r>
      <w:r w:rsidRPr="001A377A">
        <w:rPr>
          <w:rFonts w:ascii="Arial" w:hAnsi="Arial" w:cs="Arial"/>
        </w:rPr>
        <w:t xml:space="preserve">, le </w:t>
      </w:r>
      <w:hyperlink r:id="rId20" w:history="1">
        <w:r w:rsidRPr="001A377A">
          <w:rPr>
            <w:rStyle w:val="Lienhypertexte"/>
            <w:rFonts w:ascii="Arial" w:hAnsi="Arial" w:cs="Arial"/>
            <w:b/>
            <w:bCs/>
            <w:i/>
            <w:iCs/>
            <w:shd w:val="clear" w:color="auto" w:fill="FFFFFF"/>
          </w:rPr>
          <w:t>Décret n° 2020-1557 du 8 décembre 2020 relatif au congé de proche aidant dans la fonction publique</w:t>
        </w:r>
      </w:hyperlink>
      <w:r w:rsidR="001A377A" w:rsidRPr="001A377A">
        <w:rPr>
          <w:rFonts w:ascii="Arial" w:hAnsi="Arial" w:cs="Arial"/>
          <w:color w:val="222222"/>
          <w:shd w:val="clear" w:color="auto" w:fill="FFFFFF"/>
        </w:rPr>
        <w:t xml:space="preserve"> a été promulgué. Il définit les conditions d’attribution, d’utilisation et de renouvellement </w:t>
      </w:r>
      <w:r w:rsidR="001A377A">
        <w:rPr>
          <w:rFonts w:ascii="Arial" w:hAnsi="Arial" w:cs="Arial"/>
          <w:color w:val="222222"/>
          <w:shd w:val="clear" w:color="auto" w:fill="FFFFFF"/>
        </w:rPr>
        <w:t>de ce type de</w:t>
      </w:r>
      <w:r w:rsidR="001A377A" w:rsidRPr="001A377A">
        <w:rPr>
          <w:rFonts w:ascii="Arial" w:hAnsi="Arial" w:cs="Arial"/>
          <w:color w:val="222222"/>
          <w:shd w:val="clear" w:color="auto" w:fill="FFFFFF"/>
        </w:rPr>
        <w:t xml:space="preserve"> congé.</w:t>
      </w:r>
    </w:p>
    <w:p w14:paraId="1CE8C2F3" w14:textId="288BA41E" w:rsidR="009B5D66" w:rsidRDefault="009B5D66" w:rsidP="00597D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023E373" w14:textId="24EE6FA7" w:rsidR="009B5D66" w:rsidRDefault="009B5D66" w:rsidP="00597D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9B5D66">
        <w:rPr>
          <w:rFonts w:ascii="Arial" w:hAnsi="Arial" w:cs="Arial"/>
          <w:b/>
          <w:bCs/>
          <w:color w:val="222222"/>
          <w:shd w:val="clear" w:color="auto" w:fill="FFFFFF"/>
        </w:rPr>
        <w:t>Fin décembre 2020</w:t>
      </w:r>
      <w:r>
        <w:rPr>
          <w:rFonts w:ascii="Arial" w:hAnsi="Arial" w:cs="Arial"/>
          <w:color w:val="222222"/>
          <w:shd w:val="clear" w:color="auto" w:fill="FFFFFF"/>
        </w:rPr>
        <w:t xml:space="preserve">, deux textes législatifs ont été élaborés concernant </w:t>
      </w:r>
      <w:r w:rsidRPr="00D374EE">
        <w:rPr>
          <w:rFonts w:ascii="Arial" w:hAnsi="Arial" w:cs="Arial"/>
          <w:b/>
          <w:bCs/>
          <w:color w:val="222222"/>
          <w:shd w:val="clear" w:color="auto" w:fill="FFFFFF"/>
        </w:rPr>
        <w:t xml:space="preserve">le bénéfice de la </w:t>
      </w:r>
      <w:r w:rsidR="00EB55A9">
        <w:rPr>
          <w:rFonts w:ascii="Arial" w:hAnsi="Arial" w:cs="Arial"/>
          <w:b/>
          <w:bCs/>
          <w:color w:val="222222"/>
          <w:shd w:val="clear" w:color="auto" w:fill="FFFFFF"/>
        </w:rPr>
        <w:t>P</w:t>
      </w:r>
      <w:r w:rsidRPr="00D374EE">
        <w:rPr>
          <w:rFonts w:ascii="Arial" w:hAnsi="Arial" w:cs="Arial"/>
          <w:b/>
          <w:bCs/>
          <w:color w:val="222222"/>
          <w:shd w:val="clear" w:color="auto" w:fill="FFFFFF"/>
        </w:rPr>
        <w:t xml:space="preserve">restation de </w:t>
      </w:r>
      <w:r w:rsidR="00EB55A9">
        <w:rPr>
          <w:rFonts w:ascii="Arial" w:hAnsi="Arial" w:cs="Arial"/>
          <w:b/>
          <w:bCs/>
          <w:color w:val="222222"/>
          <w:shd w:val="clear" w:color="auto" w:fill="FFFFFF"/>
        </w:rPr>
        <w:t>C</w:t>
      </w:r>
      <w:r w:rsidRPr="00D374EE">
        <w:rPr>
          <w:rFonts w:ascii="Arial" w:hAnsi="Arial" w:cs="Arial"/>
          <w:b/>
          <w:bCs/>
          <w:color w:val="222222"/>
          <w:shd w:val="clear" w:color="auto" w:fill="FFFFFF"/>
        </w:rPr>
        <w:t xml:space="preserve">ompensation du </w:t>
      </w:r>
      <w:r w:rsidR="00EB55A9">
        <w:rPr>
          <w:rFonts w:ascii="Arial" w:hAnsi="Arial" w:cs="Arial"/>
          <w:b/>
          <w:bCs/>
          <w:color w:val="222222"/>
          <w:shd w:val="clear" w:color="auto" w:fill="FFFFFF"/>
        </w:rPr>
        <w:t>H</w:t>
      </w:r>
      <w:r w:rsidRPr="00D374EE">
        <w:rPr>
          <w:rFonts w:ascii="Arial" w:hAnsi="Arial" w:cs="Arial"/>
          <w:b/>
          <w:bCs/>
          <w:color w:val="222222"/>
          <w:shd w:val="clear" w:color="auto" w:fill="FFFFFF"/>
        </w:rPr>
        <w:t>andicap (PCH) pour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B5D66">
        <w:rPr>
          <w:rFonts w:ascii="Arial" w:hAnsi="Arial" w:cs="Arial"/>
          <w:b/>
          <w:bCs/>
          <w:color w:val="222222"/>
          <w:shd w:val="clear" w:color="auto" w:fill="FFFFFF"/>
        </w:rPr>
        <w:t>les parents de personnes en situation de handicap</w:t>
      </w:r>
      <w:r>
        <w:rPr>
          <w:rFonts w:ascii="Arial" w:hAnsi="Arial" w:cs="Arial"/>
          <w:color w:val="222222"/>
          <w:shd w:val="clear" w:color="auto" w:fill="FFFFFF"/>
        </w:rPr>
        <w:t> :</w:t>
      </w:r>
    </w:p>
    <w:p w14:paraId="169AD4C0" w14:textId="58C82911" w:rsidR="00D374EE" w:rsidRPr="00D374EE" w:rsidRDefault="009B5D66" w:rsidP="004C2E0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374EE">
        <w:rPr>
          <w:rFonts w:ascii="Arial" w:hAnsi="Arial" w:cs="Arial"/>
          <w:color w:val="222222"/>
          <w:shd w:val="clear" w:color="auto" w:fill="FFFFFF"/>
        </w:rPr>
        <w:t xml:space="preserve">Le </w:t>
      </w:r>
      <w:hyperlink r:id="rId21" w:history="1">
        <w:r w:rsidR="006639CD" w:rsidRPr="00D374EE">
          <w:rPr>
            <w:rStyle w:val="Lienhypertexte"/>
            <w:rFonts w:ascii="Arial" w:hAnsi="Arial" w:cs="Arial"/>
            <w:i/>
            <w:iCs/>
            <w:shd w:val="clear" w:color="auto" w:fill="FFFFFF"/>
          </w:rPr>
          <w:t>Décret n° 2020-1826 du 31 décembre 2020</w:t>
        </w:r>
        <w:r w:rsidRPr="00D374EE">
          <w:rPr>
            <w:rStyle w:val="Lienhypertexte"/>
            <w:rFonts w:ascii="Arial" w:hAnsi="Arial" w:cs="Arial"/>
            <w:u w:val="none"/>
            <w:shd w:val="clear" w:color="auto" w:fill="FFFFFF"/>
          </w:rPr>
          <w:t> </w:t>
        </w:r>
      </w:hyperlink>
      <w:r w:rsidR="00D374EE" w:rsidRPr="00D374EE">
        <w:rPr>
          <w:rFonts w:ascii="Arial" w:hAnsi="Arial" w:cs="Arial"/>
          <w:color w:val="222222"/>
          <w:shd w:val="clear" w:color="auto" w:fill="FFFFFF"/>
        </w:rPr>
        <w:t>qui explique les modalités de ce bénéfice</w:t>
      </w:r>
      <w:r w:rsidR="00D374EE">
        <w:rPr>
          <w:rFonts w:ascii="Arial" w:hAnsi="Arial" w:cs="Arial"/>
          <w:color w:val="222222"/>
          <w:shd w:val="clear" w:color="auto" w:fill="FFFFFF"/>
        </w:rPr>
        <w:t xml:space="preserve"> (aides humaines, aides techniques…)</w:t>
      </w:r>
    </w:p>
    <w:p w14:paraId="49198713" w14:textId="77777777" w:rsidR="00EA435E" w:rsidRDefault="009B5D66" w:rsidP="00C3601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A435E">
        <w:rPr>
          <w:rFonts w:ascii="Arial" w:hAnsi="Arial" w:cs="Arial"/>
          <w:color w:val="222222"/>
        </w:rPr>
        <w:t>L’</w:t>
      </w:r>
      <w:hyperlink r:id="rId22" w:history="1">
        <w:r w:rsidRPr="00EA435E">
          <w:rPr>
            <w:rStyle w:val="Lienhypertexte"/>
            <w:rFonts w:ascii="Arial" w:hAnsi="Arial" w:cs="Arial"/>
            <w:i/>
            <w:iCs/>
          </w:rPr>
          <w:t xml:space="preserve">Arrêté </w:t>
        </w:r>
        <w:r w:rsidR="006639CD" w:rsidRPr="00EA435E">
          <w:rPr>
            <w:rStyle w:val="Lienhypertexte"/>
            <w:rFonts w:ascii="Arial" w:hAnsi="Arial" w:cs="Arial"/>
            <w:i/>
            <w:iCs/>
            <w:shd w:val="clear" w:color="auto" w:fill="FFFFFF"/>
          </w:rPr>
          <w:t>du 17 décembre 202</w:t>
        </w:r>
        <w:r w:rsidR="00D374EE" w:rsidRPr="00EA435E">
          <w:rPr>
            <w:rStyle w:val="Lienhypertexte"/>
            <w:rFonts w:ascii="Arial" w:hAnsi="Arial" w:cs="Arial"/>
            <w:i/>
            <w:iCs/>
            <w:shd w:val="clear" w:color="auto" w:fill="FFFFFF"/>
          </w:rPr>
          <w:t>0</w:t>
        </w:r>
        <w:r w:rsidRPr="00EA435E">
          <w:rPr>
            <w:rStyle w:val="Lienhypertexte"/>
            <w:rFonts w:ascii="Arial" w:hAnsi="Arial" w:cs="Arial"/>
            <w:i/>
            <w:iCs/>
            <w:u w:val="none"/>
            <w:shd w:val="clear" w:color="auto" w:fill="FFFFFF"/>
          </w:rPr>
          <w:t> </w:t>
        </w:r>
      </w:hyperlink>
      <w:r w:rsidR="00D374EE" w:rsidRPr="00EA435E">
        <w:rPr>
          <w:rFonts w:ascii="Arial" w:hAnsi="Arial" w:cs="Arial"/>
          <w:color w:val="222222"/>
          <w:shd w:val="clear" w:color="auto" w:fill="FFFFFF"/>
        </w:rPr>
        <w:t>qui fixe les montants maximaux relatifs à cette aide.</w:t>
      </w:r>
      <w:r w:rsidR="006639CD" w:rsidRPr="00EA435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884E300" w14:textId="77777777" w:rsidR="00D374EE" w:rsidRDefault="00D374EE" w:rsidP="00EA43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94F31B2" w14:textId="2A17A294" w:rsidR="008C4353" w:rsidRPr="00597DE7" w:rsidRDefault="00597DE7" w:rsidP="00597DE7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222222"/>
          <w:sz w:val="24"/>
          <w:szCs w:val="24"/>
          <w:u w:val="single"/>
        </w:rPr>
        <w:t>Evénements</w:t>
      </w:r>
      <w:r w:rsidR="008C4353" w:rsidRPr="00655E73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 :</w:t>
      </w:r>
    </w:p>
    <w:p w14:paraId="43777569" w14:textId="77777777" w:rsidR="00EA2E11" w:rsidRDefault="00EA2E11" w:rsidP="00655E73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21 septembre 2020 : </w:t>
      </w:r>
      <w:r w:rsidRPr="00EA2E11">
        <w:rPr>
          <w:rFonts w:ascii="Arial" w:hAnsi="Arial" w:cs="Arial"/>
          <w:color w:val="222222"/>
          <w:sz w:val="24"/>
          <w:szCs w:val="24"/>
        </w:rPr>
        <w:t>1</w:t>
      </w:r>
      <w:r w:rsidRPr="00EA2E11">
        <w:rPr>
          <w:rFonts w:ascii="Arial" w:hAnsi="Arial" w:cs="Arial"/>
          <w:color w:val="222222"/>
          <w:sz w:val="24"/>
          <w:szCs w:val="24"/>
          <w:vertAlign w:val="superscript"/>
        </w:rPr>
        <w:t>e</w:t>
      </w:r>
      <w:r w:rsidRPr="00EA2E11">
        <w:rPr>
          <w:rFonts w:ascii="Arial" w:hAnsi="Arial" w:cs="Arial"/>
          <w:color w:val="222222"/>
          <w:sz w:val="24"/>
          <w:szCs w:val="24"/>
        </w:rPr>
        <w:t xml:space="preserve"> étape du Tour de France sur l’apprentissage en Occitanie</w:t>
      </w:r>
    </w:p>
    <w:p w14:paraId="77E65405" w14:textId="2084E690" w:rsidR="008C4353" w:rsidRDefault="00EA2E11" w:rsidP="00655E73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16 au 22</w:t>
      </w:r>
      <w:r w:rsidR="008C4353" w:rsidRPr="00655E73">
        <w:rPr>
          <w:rFonts w:ascii="Arial" w:hAnsi="Arial" w:cs="Arial"/>
          <w:b/>
          <w:bCs/>
          <w:color w:val="222222"/>
          <w:sz w:val="24"/>
          <w:szCs w:val="24"/>
        </w:rPr>
        <w:t xml:space="preserve"> novembre 20</w:t>
      </w:r>
      <w:r w:rsidR="00B43684">
        <w:rPr>
          <w:rFonts w:ascii="Arial" w:hAnsi="Arial" w:cs="Arial"/>
          <w:b/>
          <w:bCs/>
          <w:color w:val="222222"/>
          <w:sz w:val="24"/>
          <w:szCs w:val="24"/>
        </w:rPr>
        <w:t>20</w:t>
      </w:r>
      <w:r w:rsidR="008C4353" w:rsidRPr="00655E73">
        <w:rPr>
          <w:rFonts w:ascii="Arial" w:hAnsi="Arial" w:cs="Arial"/>
          <w:b/>
          <w:bCs/>
          <w:color w:val="222222"/>
          <w:sz w:val="24"/>
          <w:szCs w:val="24"/>
        </w:rPr>
        <w:t> :</w:t>
      </w:r>
      <w:r w:rsidR="008C4353">
        <w:rPr>
          <w:rFonts w:ascii="Arial" w:hAnsi="Arial" w:cs="Arial"/>
          <w:color w:val="222222"/>
          <w:sz w:val="24"/>
          <w:szCs w:val="24"/>
        </w:rPr>
        <w:t xml:space="preserve"> </w:t>
      </w:r>
      <w:r w:rsidR="00655E73">
        <w:rPr>
          <w:rFonts w:ascii="Arial" w:hAnsi="Arial" w:cs="Arial"/>
          <w:color w:val="222222"/>
          <w:sz w:val="24"/>
          <w:szCs w:val="24"/>
        </w:rPr>
        <w:t>2</w:t>
      </w:r>
      <w:r>
        <w:rPr>
          <w:rFonts w:ascii="Arial" w:hAnsi="Arial" w:cs="Arial"/>
          <w:color w:val="222222"/>
          <w:sz w:val="24"/>
          <w:szCs w:val="24"/>
        </w:rPr>
        <w:t>4</w:t>
      </w:r>
      <w:r w:rsidR="00655E73" w:rsidRPr="00655E73">
        <w:rPr>
          <w:rFonts w:ascii="Arial" w:hAnsi="Arial" w:cs="Arial"/>
          <w:color w:val="222222"/>
          <w:sz w:val="24"/>
          <w:szCs w:val="24"/>
          <w:vertAlign w:val="superscript"/>
        </w:rPr>
        <w:t>e</w:t>
      </w:r>
      <w:r w:rsidR="00655E73">
        <w:rPr>
          <w:rFonts w:ascii="Arial" w:hAnsi="Arial" w:cs="Arial"/>
          <w:color w:val="222222"/>
          <w:sz w:val="24"/>
          <w:szCs w:val="24"/>
        </w:rPr>
        <w:t xml:space="preserve"> SEEPH</w:t>
      </w:r>
      <w:r>
        <w:rPr>
          <w:rFonts w:ascii="Arial" w:hAnsi="Arial" w:cs="Arial"/>
          <w:color w:val="222222"/>
          <w:sz w:val="24"/>
          <w:szCs w:val="24"/>
        </w:rPr>
        <w:t xml:space="preserve"> et Réunion du CIH.</w:t>
      </w:r>
    </w:p>
    <w:p w14:paraId="569D977D" w14:textId="4F935260" w:rsidR="00553EB0" w:rsidRDefault="00553EB0" w:rsidP="00655E73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17 novembre 2020 : </w:t>
      </w:r>
      <w:r w:rsidRPr="00553EB0">
        <w:rPr>
          <w:rFonts w:ascii="Arial" w:hAnsi="Arial" w:cs="Arial"/>
          <w:color w:val="222222"/>
          <w:sz w:val="24"/>
          <w:szCs w:val="24"/>
        </w:rPr>
        <w:t>Journée nationale des référents handicap FO</w:t>
      </w:r>
    </w:p>
    <w:p w14:paraId="62FDEC2F" w14:textId="36AE4519" w:rsidR="00EA2E11" w:rsidRDefault="00EA2E11" w:rsidP="00655E73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19</w:t>
      </w:r>
      <w:r w:rsidRPr="00655E73">
        <w:rPr>
          <w:rFonts w:ascii="Arial" w:hAnsi="Arial" w:cs="Arial"/>
          <w:b/>
          <w:bCs/>
          <w:color w:val="222222"/>
          <w:sz w:val="24"/>
          <w:szCs w:val="24"/>
        </w:rPr>
        <w:t xml:space="preserve"> novembre 20</w:t>
      </w:r>
      <w:r>
        <w:rPr>
          <w:rFonts w:ascii="Arial" w:hAnsi="Arial" w:cs="Arial"/>
          <w:b/>
          <w:bCs/>
          <w:color w:val="222222"/>
          <w:sz w:val="24"/>
          <w:szCs w:val="24"/>
        </w:rPr>
        <w:t>20</w:t>
      </w:r>
      <w:r w:rsidRPr="00655E73">
        <w:rPr>
          <w:rFonts w:ascii="Arial" w:hAnsi="Arial" w:cs="Arial"/>
          <w:b/>
          <w:bCs/>
          <w:color w:val="222222"/>
          <w:sz w:val="24"/>
          <w:szCs w:val="24"/>
        </w:rPr>
        <w:t> 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Duoday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</w:p>
    <w:p w14:paraId="5F6AFCDB" w14:textId="3937534C" w:rsidR="008C4353" w:rsidRDefault="008C4353" w:rsidP="00655E73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55E73">
        <w:rPr>
          <w:rFonts w:ascii="Arial" w:hAnsi="Arial" w:cs="Arial"/>
          <w:b/>
          <w:bCs/>
          <w:color w:val="222222"/>
          <w:sz w:val="24"/>
          <w:szCs w:val="24"/>
        </w:rPr>
        <w:t>3 décembre 20</w:t>
      </w:r>
      <w:r w:rsidR="00EA2E11">
        <w:rPr>
          <w:rFonts w:ascii="Arial" w:hAnsi="Arial" w:cs="Arial"/>
          <w:b/>
          <w:bCs/>
          <w:color w:val="222222"/>
          <w:sz w:val="24"/>
          <w:szCs w:val="24"/>
        </w:rPr>
        <w:t>20</w:t>
      </w:r>
      <w:r w:rsidRPr="00655E73">
        <w:rPr>
          <w:rFonts w:ascii="Arial" w:hAnsi="Arial" w:cs="Arial"/>
          <w:b/>
          <w:bCs/>
          <w:color w:val="222222"/>
          <w:sz w:val="24"/>
          <w:szCs w:val="24"/>
        </w:rPr>
        <w:t> 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EA2E11">
        <w:rPr>
          <w:rFonts w:ascii="Arial" w:hAnsi="Arial" w:cs="Arial"/>
          <w:color w:val="222222"/>
          <w:sz w:val="24"/>
          <w:szCs w:val="24"/>
        </w:rPr>
        <w:t>Journée international des personnes handicapées</w:t>
      </w:r>
    </w:p>
    <w:p w14:paraId="1A8368B9" w14:textId="34897619" w:rsidR="006811F7" w:rsidRDefault="006811F7" w:rsidP="00655E73">
      <w:pPr>
        <w:pBdr>
          <w:top w:val="single" w:sz="18" w:space="1" w:color="00FF99"/>
          <w:left w:val="single" w:sz="18" w:space="4" w:color="00FF99"/>
          <w:bottom w:val="single" w:sz="18" w:space="1" w:color="00FF99"/>
          <w:right w:val="single" w:sz="18" w:space="4" w:color="00FF99"/>
        </w:pBd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811F7">
        <w:rPr>
          <w:rFonts w:ascii="Arial" w:hAnsi="Arial" w:cs="Arial"/>
          <w:b/>
          <w:bCs/>
          <w:color w:val="222222"/>
          <w:sz w:val="24"/>
          <w:szCs w:val="24"/>
        </w:rPr>
        <w:t>Du 16 au 18 décembre 2020 :</w:t>
      </w:r>
      <w:r>
        <w:rPr>
          <w:rFonts w:ascii="Arial" w:hAnsi="Arial" w:cs="Arial"/>
          <w:color w:val="222222"/>
          <w:sz w:val="24"/>
          <w:szCs w:val="24"/>
        </w:rPr>
        <w:t xml:space="preserve"> Formation des élus</w:t>
      </w:r>
      <w:r w:rsidR="00F07A2A">
        <w:rPr>
          <w:rFonts w:ascii="Arial" w:hAnsi="Arial" w:cs="Arial"/>
          <w:color w:val="222222"/>
          <w:sz w:val="24"/>
          <w:szCs w:val="24"/>
        </w:rPr>
        <w:t xml:space="preserve"> siégeant dans les</w:t>
      </w:r>
      <w:r>
        <w:rPr>
          <w:rFonts w:ascii="Arial" w:hAnsi="Arial" w:cs="Arial"/>
          <w:color w:val="222222"/>
          <w:sz w:val="24"/>
          <w:szCs w:val="24"/>
        </w:rPr>
        <w:t xml:space="preserve"> comités du FIPHFP</w:t>
      </w:r>
    </w:p>
    <w:sectPr w:rsidR="006811F7" w:rsidSect="00EA435E">
      <w:type w:val="continuous"/>
      <w:pgSz w:w="11906" w:h="16838"/>
      <w:pgMar w:top="1134" w:right="1134" w:bottom="1134" w:left="1134" w:header="709" w:footer="59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9143" w14:textId="77777777" w:rsidR="00E302ED" w:rsidRDefault="00E302ED" w:rsidP="00046632">
      <w:pPr>
        <w:spacing w:after="0" w:line="240" w:lineRule="auto"/>
      </w:pPr>
      <w:r>
        <w:separator/>
      </w:r>
    </w:p>
  </w:endnote>
  <w:endnote w:type="continuationSeparator" w:id="0">
    <w:p w14:paraId="758AACD6" w14:textId="77777777" w:rsidR="00E302ED" w:rsidRDefault="00E302ED" w:rsidP="0004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94B4" w14:textId="067CB2C3" w:rsidR="00046632" w:rsidRDefault="00F756C5" w:rsidP="00F756C5">
    <w:pPr>
      <w:pStyle w:val="Pieddepage"/>
      <w:jc w:val="center"/>
    </w:pPr>
    <w:r>
      <w:t xml:space="preserve">Pour nous contacter : </w:t>
    </w:r>
    <w:hyperlink r:id="rId1" w:history="1">
      <w:r w:rsidRPr="0083710E">
        <w:rPr>
          <w:rStyle w:val="Lienhypertexte"/>
        </w:rPr>
        <w:t>handicap.fonctionpubliquefo@gmail.com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63BD" w14:textId="77777777" w:rsidR="00E302ED" w:rsidRDefault="00E302ED" w:rsidP="00046632">
      <w:pPr>
        <w:spacing w:after="0" w:line="240" w:lineRule="auto"/>
      </w:pPr>
      <w:r>
        <w:separator/>
      </w:r>
    </w:p>
  </w:footnote>
  <w:footnote w:type="continuationSeparator" w:id="0">
    <w:p w14:paraId="037C1F0C" w14:textId="77777777" w:rsidR="00E302ED" w:rsidRDefault="00E302ED" w:rsidP="0004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D6360"/>
    <w:multiLevelType w:val="hybridMultilevel"/>
    <w:tmpl w:val="FD00B12C"/>
    <w:lvl w:ilvl="0" w:tplc="FDD8D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EFC"/>
    <w:multiLevelType w:val="multilevel"/>
    <w:tmpl w:val="390E5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CC6CD0"/>
    <w:multiLevelType w:val="hybridMultilevel"/>
    <w:tmpl w:val="8692F56A"/>
    <w:lvl w:ilvl="0" w:tplc="A9DAA7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D"/>
    <w:rsid w:val="00013867"/>
    <w:rsid w:val="00024C03"/>
    <w:rsid w:val="00046632"/>
    <w:rsid w:val="00075D65"/>
    <w:rsid w:val="000A300C"/>
    <w:rsid w:val="000A5574"/>
    <w:rsid w:val="000C50F4"/>
    <w:rsid w:val="000C6525"/>
    <w:rsid w:val="000F0E22"/>
    <w:rsid w:val="001510FE"/>
    <w:rsid w:val="001722F6"/>
    <w:rsid w:val="001A377A"/>
    <w:rsid w:val="001C5C11"/>
    <w:rsid w:val="00224494"/>
    <w:rsid w:val="002A1497"/>
    <w:rsid w:val="002A3EE0"/>
    <w:rsid w:val="00306263"/>
    <w:rsid w:val="003D0695"/>
    <w:rsid w:val="00410E1A"/>
    <w:rsid w:val="00432170"/>
    <w:rsid w:val="00441D80"/>
    <w:rsid w:val="00493A19"/>
    <w:rsid w:val="004B1DD3"/>
    <w:rsid w:val="004D3844"/>
    <w:rsid w:val="004D7D3F"/>
    <w:rsid w:val="004F7A88"/>
    <w:rsid w:val="0050151C"/>
    <w:rsid w:val="00553EB0"/>
    <w:rsid w:val="0057295C"/>
    <w:rsid w:val="00575409"/>
    <w:rsid w:val="00597DE7"/>
    <w:rsid w:val="005C0F41"/>
    <w:rsid w:val="005C7F07"/>
    <w:rsid w:val="006262C8"/>
    <w:rsid w:val="00655E73"/>
    <w:rsid w:val="006639CD"/>
    <w:rsid w:val="006811F7"/>
    <w:rsid w:val="006947D7"/>
    <w:rsid w:val="006B049B"/>
    <w:rsid w:val="006F7E03"/>
    <w:rsid w:val="00714314"/>
    <w:rsid w:val="00732127"/>
    <w:rsid w:val="0079117A"/>
    <w:rsid w:val="007C294C"/>
    <w:rsid w:val="0080505A"/>
    <w:rsid w:val="00841737"/>
    <w:rsid w:val="00857A8B"/>
    <w:rsid w:val="008C4353"/>
    <w:rsid w:val="008D3239"/>
    <w:rsid w:val="008E38E0"/>
    <w:rsid w:val="009324F3"/>
    <w:rsid w:val="00941084"/>
    <w:rsid w:val="0094482C"/>
    <w:rsid w:val="00976955"/>
    <w:rsid w:val="00981345"/>
    <w:rsid w:val="00990B8B"/>
    <w:rsid w:val="009B5D66"/>
    <w:rsid w:val="00A643C5"/>
    <w:rsid w:val="00A83CDD"/>
    <w:rsid w:val="00A912FC"/>
    <w:rsid w:val="00AD60FB"/>
    <w:rsid w:val="00B026AC"/>
    <w:rsid w:val="00B43684"/>
    <w:rsid w:val="00B7744E"/>
    <w:rsid w:val="00BC3431"/>
    <w:rsid w:val="00BC54D6"/>
    <w:rsid w:val="00BD5930"/>
    <w:rsid w:val="00C0366B"/>
    <w:rsid w:val="00C1257E"/>
    <w:rsid w:val="00C21A25"/>
    <w:rsid w:val="00C27882"/>
    <w:rsid w:val="00C5046E"/>
    <w:rsid w:val="00C668AB"/>
    <w:rsid w:val="00C848EA"/>
    <w:rsid w:val="00C93B5C"/>
    <w:rsid w:val="00CB13A8"/>
    <w:rsid w:val="00CB6118"/>
    <w:rsid w:val="00CD52D1"/>
    <w:rsid w:val="00CE391F"/>
    <w:rsid w:val="00CE7017"/>
    <w:rsid w:val="00D07B59"/>
    <w:rsid w:val="00D36FC4"/>
    <w:rsid w:val="00D374EE"/>
    <w:rsid w:val="00D75D51"/>
    <w:rsid w:val="00D8183D"/>
    <w:rsid w:val="00D9315F"/>
    <w:rsid w:val="00DB456E"/>
    <w:rsid w:val="00DD6A16"/>
    <w:rsid w:val="00DF2185"/>
    <w:rsid w:val="00DF4E40"/>
    <w:rsid w:val="00E12FD5"/>
    <w:rsid w:val="00E2096D"/>
    <w:rsid w:val="00E24228"/>
    <w:rsid w:val="00E265F2"/>
    <w:rsid w:val="00E302ED"/>
    <w:rsid w:val="00E43B6A"/>
    <w:rsid w:val="00E92CE7"/>
    <w:rsid w:val="00EA2E11"/>
    <w:rsid w:val="00EA435E"/>
    <w:rsid w:val="00EB55A9"/>
    <w:rsid w:val="00EC750C"/>
    <w:rsid w:val="00ED666E"/>
    <w:rsid w:val="00F07A2A"/>
    <w:rsid w:val="00F41755"/>
    <w:rsid w:val="00F55941"/>
    <w:rsid w:val="00F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595"/>
  <w15:chartTrackingRefBased/>
  <w15:docId w15:val="{29F5659D-A746-4B36-BED2-84A7EE2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7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Textbody"/>
    <w:link w:val="Titre3Car"/>
    <w:uiPriority w:val="9"/>
    <w:unhideWhenUsed/>
    <w:qFormat/>
    <w:rsid w:val="000C50F4"/>
    <w:pPr>
      <w:keepNext/>
      <w:suppressAutoHyphens/>
      <w:autoSpaceDN w:val="0"/>
      <w:spacing w:before="240" w:after="120" w:line="256" w:lineRule="auto"/>
      <w:textAlignment w:val="baseline"/>
      <w:outlineLvl w:val="2"/>
    </w:pPr>
    <w:rPr>
      <w:rFonts w:ascii="Times New Roman" w:eastAsia="SimSun" w:hAnsi="Times New Roman" w:cs="Arial"/>
      <w:b/>
      <w:bCs/>
      <w:kern w:val="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75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632"/>
  </w:style>
  <w:style w:type="paragraph" w:styleId="Pieddepage">
    <w:name w:val="footer"/>
    <w:basedOn w:val="Normal"/>
    <w:link w:val="PieddepageCar"/>
    <w:uiPriority w:val="99"/>
    <w:unhideWhenUsed/>
    <w:rsid w:val="0004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632"/>
  </w:style>
  <w:style w:type="character" w:styleId="Lienhypertexte">
    <w:name w:val="Hyperlink"/>
    <w:basedOn w:val="Policepardfaut"/>
    <w:uiPriority w:val="99"/>
    <w:unhideWhenUsed/>
    <w:rsid w:val="000466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632"/>
    <w:rPr>
      <w:color w:val="605E5C"/>
      <w:shd w:val="clear" w:color="auto" w:fill="E1DFDD"/>
    </w:rPr>
  </w:style>
  <w:style w:type="paragraph" w:customStyle="1" w:styleId="CharChar1">
    <w:name w:val="Char Char1"/>
    <w:basedOn w:val="Normal"/>
    <w:rsid w:val="00F756C5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C50F4"/>
    <w:rPr>
      <w:rFonts w:ascii="Times New Roman" w:eastAsia="SimSun" w:hAnsi="Times New Roman" w:cs="Arial"/>
      <w:b/>
      <w:bCs/>
      <w:kern w:val="3"/>
      <w:sz w:val="28"/>
      <w:szCs w:val="28"/>
    </w:rPr>
  </w:style>
  <w:style w:type="paragraph" w:customStyle="1" w:styleId="Standard">
    <w:name w:val="Standard"/>
    <w:rsid w:val="000C50F4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C50F4"/>
    <w:pPr>
      <w:spacing w:after="120"/>
    </w:pPr>
  </w:style>
  <w:style w:type="character" w:customStyle="1" w:styleId="StrongEmphasis">
    <w:name w:val="Strong Emphasis"/>
    <w:rsid w:val="000C50F4"/>
    <w:rPr>
      <w:b/>
      <w:bCs/>
    </w:rPr>
  </w:style>
  <w:style w:type="paragraph" w:styleId="Paragraphedeliste">
    <w:name w:val="List Paragraph"/>
    <w:basedOn w:val="Normal"/>
    <w:uiPriority w:val="34"/>
    <w:qFormat/>
    <w:rsid w:val="00575409"/>
    <w:pPr>
      <w:ind w:left="720"/>
      <w:contextualSpacing/>
    </w:pPr>
  </w:style>
  <w:style w:type="paragraph" w:customStyle="1" w:styleId="CharChar10">
    <w:name w:val="Char Char1"/>
    <w:basedOn w:val="Normal"/>
    <w:rsid w:val="00E43B6A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EC75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rChar11">
    <w:name w:val="Char Char1"/>
    <w:basedOn w:val="Normal"/>
    <w:rsid w:val="00C93B5C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character" w:styleId="lev">
    <w:name w:val="Strong"/>
    <w:basedOn w:val="Policepardfaut"/>
    <w:uiPriority w:val="22"/>
    <w:qFormat/>
    <w:rsid w:val="006811F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97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ie-publique.fr/en-bref/276444-autonomie-financement-de-la-5e-branche-de-la-securite-sociale" TargetMode="External"/><Relationship Id="rId18" Type="http://schemas.openxmlformats.org/officeDocument/2006/relationships/hyperlink" Target="https://cncph.fr/circulaire-du-premier-ministre-n-6227-sg-du-17-novembre-2020-relative-a-la-mobilisation-interministerielle-pour-un-etat-plus-inclusi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france.gouv.fr/jorf/id/JORFTEXT0000428451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handicap.force-ouvriere.org/actualites/une/cih-2020-171?utm_source=phplist4614&amp;utm_medium=email&amp;utm_content=HTML&amp;utm_campaign=Mission+Handicap+FO+-+Newsletter+%2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ndicap.gouv.fr/grands-dossiers/coronavirus/article/covid-19-foire-aux-questions-reprise-de-l-epidemie" TargetMode="External"/><Relationship Id="rId20" Type="http://schemas.openxmlformats.org/officeDocument/2006/relationships/hyperlink" Target="https://www.legifrance.gouv.fr/jorf/id/JORFTEXT0000426372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andicap.gouv.fr/presse/dossiers-de-presse/article/semaine-europeenne-de-l-emploi-des-personnes-handicapees-duoday-2020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www.legifrance.gouv.fr/circulaire/id/45071?tab_selection=circ&amp;searchField=ALL&amp;query=*&amp;searchType=ALL&amp;dateSignature=15%2F09%2F2020+%3E+20%2F09%2F2020&amp;typePagination=DEFAULT&amp;sortValue=SIGNATURE_DATE_DESC&amp;pageSize=10&amp;page=1&amp;tab_selection=cir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iphfp.fr/Le-FIPHFP/Actualites-du-FIPHFP/Resultats-2019-du-FIPHFP-Une-annee-qui-conforte-le-role-primordial-du-Fonds" TargetMode="External"/><Relationship Id="rId22" Type="http://schemas.openxmlformats.org/officeDocument/2006/relationships/hyperlink" Target="https://www.legifrance.gouv.fr/jorf/id/JORFTEXT0000428452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dicap.fonctionpubliquef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6642-A030-42F7-8A2F-7B2A5108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</Pages>
  <Words>1653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Beyret</dc:creator>
  <cp:keywords/>
  <dc:description/>
  <cp:lastModifiedBy>Laure BEYRET</cp:lastModifiedBy>
  <cp:revision>64</cp:revision>
  <cp:lastPrinted>2019-09-12T13:13:00Z</cp:lastPrinted>
  <dcterms:created xsi:type="dcterms:W3CDTF">2019-09-12T12:56:00Z</dcterms:created>
  <dcterms:modified xsi:type="dcterms:W3CDTF">2021-01-12T17:25:00Z</dcterms:modified>
</cp:coreProperties>
</file>